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5EC" w:rsidRDefault="00F715EC">
      <w:pPr>
        <w:pStyle w:val="NormalIndent"/>
        <w:spacing w:line="360" w:lineRule="auto"/>
        <w:ind w:firstLine="0"/>
        <w:jc w:val="center"/>
        <w:rPr>
          <w:rFonts w:ascii="黑体" w:eastAsia="黑体" w:hAnsi="黑体" w:cs="黑体"/>
          <w:b/>
          <w:sz w:val="48"/>
          <w:szCs w:val="48"/>
        </w:rPr>
      </w:pPr>
    </w:p>
    <w:p w:rsidR="00F715EC" w:rsidRDefault="00F715EC">
      <w:pPr>
        <w:pStyle w:val="NormalIndent"/>
        <w:spacing w:line="360" w:lineRule="auto"/>
        <w:ind w:firstLine="0"/>
        <w:jc w:val="center"/>
        <w:rPr>
          <w:rFonts w:ascii="黑体" w:eastAsia="黑体" w:hAnsi="黑体" w:cs="黑体"/>
          <w:b/>
          <w:sz w:val="48"/>
          <w:szCs w:val="48"/>
        </w:rPr>
      </w:pPr>
    </w:p>
    <w:p w:rsidR="00F715EC" w:rsidRDefault="00F715EC">
      <w:pPr>
        <w:pStyle w:val="NormalIndent"/>
        <w:spacing w:line="360" w:lineRule="auto"/>
        <w:ind w:firstLine="0"/>
        <w:jc w:val="center"/>
        <w:rPr>
          <w:rFonts w:ascii="黑体" w:eastAsia="黑体" w:hAnsi="黑体" w:cs="黑体"/>
          <w:b/>
          <w:sz w:val="48"/>
          <w:szCs w:val="48"/>
        </w:rPr>
      </w:pPr>
      <w:r>
        <w:rPr>
          <w:rFonts w:ascii="黑体" w:eastAsia="黑体" w:hAnsi="黑体" w:cs="黑体"/>
          <w:b/>
          <w:sz w:val="48"/>
          <w:szCs w:val="48"/>
        </w:rPr>
        <w:t>2021</w:t>
      </w:r>
      <w:r>
        <w:rPr>
          <w:rFonts w:ascii="黑体" w:eastAsia="黑体" w:hAnsi="黑体" w:cs="黑体" w:hint="eastAsia"/>
          <w:b/>
          <w:sz w:val="48"/>
          <w:szCs w:val="48"/>
        </w:rPr>
        <w:t>年甘肃省职业院校技能大赛</w:t>
      </w:r>
    </w:p>
    <w:p w:rsidR="00F715EC" w:rsidRDefault="00F715EC">
      <w:pPr>
        <w:pStyle w:val="NormalIndent"/>
        <w:spacing w:line="360" w:lineRule="auto"/>
        <w:ind w:firstLine="0"/>
        <w:jc w:val="center"/>
        <w:rPr>
          <w:rFonts w:ascii="黑体" w:eastAsia="黑体" w:hAnsi="黑体" w:cs="黑体"/>
          <w:b/>
          <w:sz w:val="48"/>
          <w:szCs w:val="48"/>
        </w:rPr>
      </w:pPr>
      <w:r>
        <w:rPr>
          <w:rFonts w:ascii="黑体" w:eastAsia="黑体" w:hAnsi="黑体" w:cs="黑体" w:hint="eastAsia"/>
          <w:b/>
          <w:sz w:val="48"/>
          <w:szCs w:val="48"/>
        </w:rPr>
        <w:t>市场营销技能赛项教师组</w:t>
      </w:r>
    </w:p>
    <w:p w:rsidR="00F715EC" w:rsidRPr="002028F0" w:rsidRDefault="00F715EC">
      <w:pPr>
        <w:jc w:val="center"/>
        <w:rPr>
          <w:rFonts w:ascii="黑体" w:eastAsia="黑体" w:hAnsi="黑体" w:cs="黑体"/>
          <w:b/>
          <w:sz w:val="48"/>
          <w:szCs w:val="48"/>
        </w:rPr>
      </w:pPr>
    </w:p>
    <w:p w:rsidR="00F715EC" w:rsidRDefault="00F715EC">
      <w:pPr>
        <w:rPr>
          <w:rFonts w:ascii="黑体" w:eastAsia="黑体" w:hAnsi="黑体" w:cs="黑体"/>
          <w:b/>
          <w:sz w:val="48"/>
          <w:szCs w:val="48"/>
        </w:rPr>
      </w:pPr>
    </w:p>
    <w:p w:rsidR="00F715EC" w:rsidRDefault="00F715EC">
      <w:pPr>
        <w:jc w:val="center"/>
        <w:rPr>
          <w:rFonts w:ascii="黑体" w:eastAsia="黑体" w:hAnsi="黑体" w:cs="黑体"/>
          <w:b/>
          <w:sz w:val="48"/>
          <w:szCs w:val="48"/>
        </w:rPr>
      </w:pPr>
      <w:r>
        <w:rPr>
          <w:rFonts w:ascii="黑体" w:eastAsia="黑体" w:hAnsi="黑体" w:cs="黑体" w:hint="eastAsia"/>
          <w:b/>
          <w:sz w:val="48"/>
          <w:szCs w:val="48"/>
        </w:rPr>
        <w:t>赛</w:t>
      </w:r>
    </w:p>
    <w:p w:rsidR="00F715EC" w:rsidRDefault="00F715EC">
      <w:pPr>
        <w:jc w:val="center"/>
        <w:rPr>
          <w:rFonts w:ascii="黑体" w:eastAsia="黑体" w:hAnsi="黑体" w:cs="黑体"/>
          <w:b/>
          <w:sz w:val="48"/>
          <w:szCs w:val="48"/>
        </w:rPr>
      </w:pPr>
      <w:r>
        <w:rPr>
          <w:rFonts w:ascii="黑体" w:eastAsia="黑体" w:hAnsi="黑体" w:cs="黑体" w:hint="eastAsia"/>
          <w:b/>
          <w:sz w:val="48"/>
          <w:szCs w:val="48"/>
        </w:rPr>
        <w:t>项</w:t>
      </w:r>
    </w:p>
    <w:p w:rsidR="00F715EC" w:rsidRDefault="00F715EC">
      <w:pPr>
        <w:jc w:val="center"/>
        <w:rPr>
          <w:rFonts w:ascii="黑体" w:eastAsia="黑体" w:hAnsi="黑体" w:cs="黑体"/>
          <w:b/>
          <w:sz w:val="48"/>
          <w:szCs w:val="48"/>
        </w:rPr>
      </w:pPr>
      <w:r>
        <w:rPr>
          <w:rFonts w:ascii="黑体" w:eastAsia="黑体" w:hAnsi="黑体" w:cs="黑体" w:hint="eastAsia"/>
          <w:b/>
          <w:sz w:val="48"/>
          <w:szCs w:val="48"/>
        </w:rPr>
        <w:t>规</w:t>
      </w:r>
    </w:p>
    <w:p w:rsidR="00F715EC" w:rsidRDefault="00F715EC">
      <w:pPr>
        <w:jc w:val="center"/>
        <w:rPr>
          <w:rFonts w:ascii="黑体" w:eastAsia="黑体" w:hAnsi="黑体" w:cs="黑体"/>
          <w:b/>
          <w:sz w:val="48"/>
          <w:szCs w:val="48"/>
        </w:rPr>
      </w:pPr>
      <w:r>
        <w:rPr>
          <w:rFonts w:ascii="黑体" w:eastAsia="黑体" w:hAnsi="黑体" w:cs="黑体" w:hint="eastAsia"/>
          <w:b/>
          <w:sz w:val="48"/>
          <w:szCs w:val="48"/>
        </w:rPr>
        <w:t>程</w:t>
      </w:r>
    </w:p>
    <w:p w:rsidR="00F715EC" w:rsidRDefault="00F715EC">
      <w:pPr>
        <w:rPr>
          <w:rFonts w:ascii="Times New Roman" w:eastAsia="宋体" w:hAnsi="Times New Roman"/>
          <w:sz w:val="21"/>
          <w:szCs w:val="24"/>
        </w:rPr>
      </w:pPr>
    </w:p>
    <w:p w:rsidR="00F715EC" w:rsidRDefault="00F715EC"/>
    <w:p w:rsidR="00F715EC" w:rsidRDefault="00F715EC"/>
    <w:p w:rsidR="00F715EC" w:rsidRDefault="00F715EC"/>
    <w:p w:rsidR="00F715EC" w:rsidRDefault="00F715EC"/>
    <w:p w:rsidR="00F715EC" w:rsidRDefault="00F715EC"/>
    <w:p w:rsidR="00F715EC" w:rsidRDefault="00F715EC">
      <w:pPr>
        <w:pStyle w:val="NormalIndent"/>
        <w:spacing w:line="360" w:lineRule="auto"/>
        <w:ind w:firstLineChars="250" w:firstLine="904"/>
        <w:jc w:val="center"/>
        <w:rPr>
          <w:b/>
          <w:sz w:val="36"/>
          <w:szCs w:val="36"/>
        </w:rPr>
      </w:pPr>
    </w:p>
    <w:p w:rsidR="00F715EC" w:rsidRDefault="00F715EC">
      <w:pPr>
        <w:pStyle w:val="NormalIndent"/>
        <w:spacing w:line="360" w:lineRule="auto"/>
        <w:ind w:firstLineChars="250" w:firstLine="600"/>
        <w:jc w:val="center"/>
        <w:rPr>
          <w:sz w:val="24"/>
          <w:szCs w:val="24"/>
        </w:rPr>
      </w:pPr>
    </w:p>
    <w:p w:rsidR="00F715EC" w:rsidRDefault="00F715EC">
      <w:pPr>
        <w:pStyle w:val="NormalIndent"/>
        <w:spacing w:line="360" w:lineRule="auto"/>
        <w:ind w:firstLine="0"/>
        <w:jc w:val="center"/>
      </w:pPr>
      <w:r>
        <w:rPr>
          <w:rFonts w:ascii="黑体" w:eastAsia="黑体" w:hAnsi="黑体" w:cs="黑体" w:hint="eastAsia"/>
          <w:sz w:val="36"/>
          <w:szCs w:val="36"/>
        </w:rPr>
        <w:t>二〇二一年三月</w:t>
      </w:r>
    </w:p>
    <w:p w:rsidR="00F715EC" w:rsidRDefault="00F715EC">
      <w:pPr>
        <w:spacing w:line="360" w:lineRule="auto"/>
        <w:rPr>
          <w:szCs w:val="20"/>
        </w:rPr>
        <w:sectPr w:rsidR="00F715EC">
          <w:pgSz w:w="11910" w:h="16840"/>
          <w:pgMar w:top="1440" w:right="1800" w:bottom="1440" w:left="1800" w:header="0" w:footer="1121" w:gutter="0"/>
          <w:cols w:space="720"/>
        </w:sectPr>
      </w:pPr>
    </w:p>
    <w:p w:rsidR="00F715EC" w:rsidRDefault="00F715EC">
      <w:pPr>
        <w:pStyle w:val="1"/>
        <w:spacing w:before="120" w:after="120"/>
        <w:ind w:firstLineChars="200" w:firstLine="643"/>
        <w:rPr>
          <w:b/>
          <w:sz w:val="32"/>
          <w:szCs w:val="32"/>
        </w:rPr>
      </w:pPr>
      <w:r>
        <w:rPr>
          <w:rFonts w:hint="eastAsia"/>
          <w:b/>
          <w:sz w:val="32"/>
          <w:szCs w:val="32"/>
        </w:rPr>
        <w:t>一、赛项名称</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赛项名称：市场营销技能</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英语翻译：</w:t>
      </w:r>
      <w:r>
        <w:rPr>
          <w:rFonts w:ascii="仿宋_GB2312" w:eastAsia="仿宋_GB2312" w:hAnsi="仿宋_GB2312" w:cs="仿宋_GB2312"/>
          <w:sz w:val="32"/>
          <w:szCs w:val="32"/>
        </w:rPr>
        <w:t>Marketing skills</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赛项组别：教师组</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赛项归属产业：商业</w:t>
      </w:r>
    </w:p>
    <w:p w:rsidR="00F715EC" w:rsidRDefault="00F715EC">
      <w:pPr>
        <w:pStyle w:val="1"/>
        <w:spacing w:before="120" w:after="120"/>
        <w:ind w:firstLineChars="200" w:firstLine="643"/>
        <w:rPr>
          <w:b/>
          <w:sz w:val="32"/>
          <w:szCs w:val="32"/>
        </w:rPr>
      </w:pPr>
      <w:r>
        <w:rPr>
          <w:rFonts w:hint="eastAsia"/>
          <w:b/>
          <w:sz w:val="32"/>
          <w:szCs w:val="32"/>
        </w:rPr>
        <w:t>二、竞赛目的</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场营销技能赛项旨在通过营销实战展示和情境营销两项竞赛内容，考察参赛团队的市场调研与分析技能、目标市场选择与定位技能、营销方案设计与活动组织实施技能以及成本核算与财务分析技能。本赛项为各院校师生提供交流借鉴的平台，引领高职院校市场营销专业建设和教学改革，以赛促教，推进专业建设与产业发展对接、课程内容与职业标准对接、人才培养过程与企业营销过程对接，提高市场营销专业人才培养质量和社会认可度与影响力。</w:t>
      </w:r>
    </w:p>
    <w:p w:rsidR="00F715EC" w:rsidRDefault="00F715EC">
      <w:pPr>
        <w:pStyle w:val="1"/>
        <w:spacing w:before="120" w:after="120"/>
        <w:ind w:firstLineChars="200" w:firstLine="643"/>
        <w:rPr>
          <w:b/>
          <w:sz w:val="32"/>
          <w:szCs w:val="32"/>
        </w:rPr>
      </w:pPr>
      <w:r>
        <w:rPr>
          <w:rFonts w:hint="eastAsia"/>
          <w:b/>
          <w:sz w:val="32"/>
          <w:szCs w:val="32"/>
        </w:rPr>
        <w:t>三、竞赛内容</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场营销技能竞赛包括营销实战展示、情境营销两个竞赛模块。其中，营销实战展示模块考察营销过程中市场调查、产品促销、电话推销、网络客服、大客户拜访等各类典型职业活动的方案设计、组织落实、过程管理等基本专业技能，以及沟通表达、礼仪规范等基本职业素质；情境营销模块不仅考察团队的目标市场选择与定位、竞争策略分析与执行、营销活动策划与组织、成本核算与财务分析等基本专业技能，还进一步考察对充分竞争市场的综合判断分析能力。竞赛中选手将会用到经济学基础、商品学基础、市场营销、市场调查与分析、消费心理学、营销策划、财务管理等课程的综合知识。</w:t>
      </w:r>
    </w:p>
    <w:p w:rsidR="00F715EC" w:rsidRDefault="00F715EC">
      <w:pPr>
        <w:pStyle w:val="1"/>
        <w:spacing w:before="120" w:after="120"/>
        <w:ind w:firstLineChars="200" w:firstLine="643"/>
        <w:rPr>
          <w:b/>
          <w:sz w:val="32"/>
          <w:szCs w:val="32"/>
        </w:rPr>
      </w:pPr>
      <w:r>
        <w:rPr>
          <w:rFonts w:hint="eastAsia"/>
          <w:b/>
          <w:sz w:val="32"/>
          <w:szCs w:val="32"/>
        </w:rPr>
        <w:t>四、竞赛方式</w:t>
      </w:r>
    </w:p>
    <w:p w:rsidR="00F715EC" w:rsidRDefault="00F715EC">
      <w:pPr>
        <w:pStyle w:val="NormalIndent"/>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竞赛采取团队比赛方式，每个参赛队由</w:t>
      </w: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名选手组成，其中队长一名。选手须为全省高等职业院校在职教师，不限制性别、年级。参赛队不得更换参赛选手，允许队员缺席比赛。</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各参赛院</w:t>
      </w:r>
      <w:r>
        <w:rPr>
          <w:rFonts w:ascii="仿宋_GB2312" w:eastAsia="仿宋_GB2312" w:hAnsi="仿宋_GB2312" w:cs="仿宋_GB2312" w:hint="eastAsia"/>
          <w:sz w:val="32"/>
          <w:szCs w:val="32"/>
        </w:rPr>
        <w:t>校要为选手购买大赛期间意外伤害保险和医疗保险。</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裁判组依据赛项评分方法及评分标准进行评价评分。</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竞赛采用软</w:t>
      </w:r>
      <w:bookmarkStart w:id="0" w:name="_GoBack"/>
      <w:bookmarkEnd w:id="0"/>
      <w:r>
        <w:rPr>
          <w:rFonts w:ascii="仿宋_GB2312" w:eastAsia="仿宋_GB2312" w:hAnsi="仿宋_GB2312" w:cs="仿宋_GB2312" w:hint="eastAsia"/>
          <w:sz w:val="32"/>
          <w:szCs w:val="32"/>
        </w:rPr>
        <w:t>件系统操作加主观实践，客观题由系统自动统计评分，主观题如营销实战展示（方案撰写及</w:t>
      </w:r>
      <w:r>
        <w:rPr>
          <w:rFonts w:ascii="仿宋_GB2312" w:eastAsia="仿宋_GB2312" w:hAnsi="仿宋_GB2312" w:cs="仿宋_GB2312"/>
          <w:sz w:val="32"/>
          <w:szCs w:val="32"/>
        </w:rPr>
        <w:t>PPT</w:t>
      </w:r>
      <w:r>
        <w:rPr>
          <w:rFonts w:ascii="仿宋_GB2312" w:eastAsia="仿宋_GB2312" w:hAnsi="仿宋_GB2312" w:cs="仿宋_GB2312" w:hint="eastAsia"/>
          <w:sz w:val="32"/>
          <w:szCs w:val="32"/>
        </w:rPr>
        <w:t>制作）明确每项公开评分标准和得分点。</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抽签时间：竞赛前一天</w:t>
      </w:r>
      <w:r>
        <w:rPr>
          <w:rFonts w:ascii="仿宋_GB2312" w:eastAsia="仿宋_GB2312" w:hAnsi="仿宋_GB2312" w:cs="仿宋_GB2312"/>
          <w:sz w:val="32"/>
          <w:szCs w:val="32"/>
        </w:rPr>
        <w:t>15:00</w:t>
      </w:r>
      <w:r>
        <w:rPr>
          <w:rFonts w:ascii="仿宋_GB2312" w:eastAsia="仿宋_GB2312" w:hAnsi="仿宋_GB2312" w:cs="仿宋_GB2312" w:hint="eastAsia"/>
          <w:sz w:val="32"/>
          <w:szCs w:val="32"/>
        </w:rPr>
        <w:t>第一次抽签加密、竞赛当天</w:t>
      </w:r>
      <w:r>
        <w:rPr>
          <w:rFonts w:ascii="仿宋_GB2312" w:eastAsia="仿宋_GB2312" w:hAnsi="仿宋_GB2312" w:cs="仿宋_GB2312"/>
          <w:sz w:val="32"/>
          <w:szCs w:val="32"/>
        </w:rPr>
        <w:t>08:30</w:t>
      </w:r>
      <w:r>
        <w:rPr>
          <w:rFonts w:ascii="仿宋_GB2312" w:eastAsia="仿宋_GB2312" w:hAnsi="仿宋_GB2312" w:cs="仿宋_GB2312" w:hint="eastAsia"/>
          <w:sz w:val="32"/>
          <w:szCs w:val="32"/>
        </w:rPr>
        <w:t>第二次抽签加密。</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抽签原则：抽签按照《全国职业院校技能大赛制度汇编》要求进行，赛项当天进行两次加密，加密后参赛选手中途不得擅自离开赛场。分别由两组加密裁判组织实施加密工作，管理加密结果。监督员全程监督加密过程。</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第一组加密裁判，组织参赛队进行第一次抽签，由队长抽签产生参赛编号，替换参赛队的参赛证等个人身份信息，填写一次加密记录表后，连同选手参赛证等个人身份信息证件，当即装入一次加密结果密封袋中单独保管。</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）第二组加密裁判，组织参赛队进行第二次抽签，由队长抽签产生确定赛位号，替换参赛队参赛编号，填写二次加密记录表后，连同选手参赛编号，当即装入二次加密结果密封袋中单独保管。</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）所有加密结果密封袋的封条均需相应的加密裁判和监督人员签字。密封袋在监督人员监督下由加密裁判放置于保密室的保险柜中保存。</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参赛队选手凭赛位号进入赛场，不得携带其他显示个人身份信息和违规的物品。现场裁判负责引导参赛队伍至赛位前等待竞赛指令。比赛开始前，在没有裁判允许的情况下，严禁随意触碰竞赛设施和阅读试题内容。比赛中途不得离开赛场。</w:t>
      </w:r>
    </w:p>
    <w:p w:rsidR="00F715EC" w:rsidRDefault="00F715EC">
      <w:pPr>
        <w:pStyle w:val="1"/>
        <w:spacing w:before="120" w:after="120"/>
        <w:ind w:firstLineChars="200" w:firstLine="643"/>
        <w:rPr>
          <w:b/>
          <w:sz w:val="32"/>
          <w:szCs w:val="32"/>
        </w:rPr>
      </w:pPr>
      <w:r>
        <w:rPr>
          <w:rFonts w:hint="eastAsia"/>
          <w:b/>
          <w:sz w:val="32"/>
          <w:szCs w:val="32"/>
        </w:rPr>
        <w:t>五、竞赛流程</w:t>
      </w:r>
    </w:p>
    <w:p w:rsidR="00F715EC" w:rsidRDefault="00F715EC">
      <w:pPr>
        <w:spacing w:line="460" w:lineRule="exact"/>
        <w:ind w:firstLineChars="200" w:firstLine="560"/>
        <w:rPr>
          <w:rFonts w:ascii="仿宋_GB2312" w:eastAsia="仿宋_GB2312"/>
          <w:sz w:val="28"/>
          <w:szCs w:val="28"/>
        </w:rPr>
      </w:pPr>
      <w:r>
        <w:rPr>
          <w:rFonts w:ascii="仿宋_GB2312" w:eastAsia="仿宋_GB2312" w:hint="eastAsia"/>
          <w:sz w:val="28"/>
          <w:szCs w:val="28"/>
        </w:rPr>
        <w:t>赛项流程见下表：</w:t>
      </w:r>
      <w:r>
        <w:rPr>
          <w:rFonts w:ascii="仿宋_GB2312" w:eastAsia="仿宋_GB2312"/>
          <w:sz w:val="28"/>
          <w:szCs w:val="28"/>
        </w:rPr>
        <w:t xml:space="preserve"> </w:t>
      </w:r>
    </w:p>
    <w:p w:rsidR="00F715EC" w:rsidRDefault="00F715EC">
      <w:pPr>
        <w:spacing w:line="460" w:lineRule="exact"/>
        <w:rPr>
          <w:rFonts w:ascii="仿宋_GB2312" w:eastAsia="仿宋_GB2312"/>
          <w:sz w:val="28"/>
          <w:szCs w:val="28"/>
          <w:highlight w:val="yellow"/>
        </w:rPr>
      </w:pPr>
    </w:p>
    <w:p w:rsidR="00F715EC" w:rsidRDefault="00F715EC">
      <w:pPr>
        <w:spacing w:line="460" w:lineRule="exact"/>
        <w:rPr>
          <w:rFonts w:ascii="仿宋_GB2312" w:eastAsia="仿宋_GB2312"/>
          <w:sz w:val="28"/>
          <w:szCs w:val="28"/>
          <w:highlight w:val="yellow"/>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6"/>
        <w:gridCol w:w="1614"/>
        <w:gridCol w:w="2486"/>
        <w:gridCol w:w="2549"/>
        <w:gridCol w:w="1445"/>
      </w:tblGrid>
      <w:tr w:rsidR="00F715EC">
        <w:trPr>
          <w:trHeight w:val="568"/>
          <w:jc w:val="center"/>
        </w:trPr>
        <w:tc>
          <w:tcPr>
            <w:tcW w:w="966" w:type="dxa"/>
            <w:vAlign w:val="center"/>
          </w:tcPr>
          <w:p w:rsidR="00F715EC" w:rsidRDefault="00F715EC">
            <w:pPr>
              <w:pStyle w:val="CommentText"/>
              <w:jc w:val="center"/>
              <w:rPr>
                <w:rFonts w:eastAsia="仿宋_GB2312"/>
                <w:b/>
                <w:sz w:val="24"/>
              </w:rPr>
            </w:pPr>
            <w:r>
              <w:rPr>
                <w:rFonts w:eastAsia="仿宋_GB2312" w:hint="eastAsia"/>
                <w:b/>
                <w:sz w:val="24"/>
              </w:rPr>
              <w:t>日期</w:t>
            </w:r>
          </w:p>
        </w:tc>
        <w:tc>
          <w:tcPr>
            <w:tcW w:w="1614" w:type="dxa"/>
            <w:vAlign w:val="center"/>
          </w:tcPr>
          <w:p w:rsidR="00F715EC" w:rsidRDefault="00F715EC">
            <w:pPr>
              <w:pStyle w:val="CommentText"/>
              <w:jc w:val="center"/>
              <w:rPr>
                <w:rFonts w:eastAsia="仿宋_GB2312"/>
                <w:b/>
                <w:sz w:val="24"/>
              </w:rPr>
            </w:pPr>
            <w:r>
              <w:rPr>
                <w:rFonts w:eastAsia="仿宋_GB2312" w:hint="eastAsia"/>
                <w:b/>
                <w:sz w:val="24"/>
              </w:rPr>
              <w:t>时间</w:t>
            </w:r>
          </w:p>
        </w:tc>
        <w:tc>
          <w:tcPr>
            <w:tcW w:w="2486" w:type="dxa"/>
            <w:vAlign w:val="center"/>
          </w:tcPr>
          <w:p w:rsidR="00F715EC" w:rsidRDefault="00F715EC">
            <w:pPr>
              <w:pStyle w:val="CommentText"/>
              <w:jc w:val="center"/>
              <w:rPr>
                <w:rFonts w:eastAsia="仿宋_GB2312"/>
                <w:b/>
                <w:sz w:val="24"/>
              </w:rPr>
            </w:pPr>
            <w:r>
              <w:rPr>
                <w:rFonts w:eastAsia="仿宋_GB2312" w:hint="eastAsia"/>
                <w:b/>
                <w:sz w:val="24"/>
              </w:rPr>
              <w:t>事项</w:t>
            </w:r>
          </w:p>
        </w:tc>
        <w:tc>
          <w:tcPr>
            <w:tcW w:w="2549" w:type="dxa"/>
            <w:vAlign w:val="center"/>
          </w:tcPr>
          <w:p w:rsidR="00F715EC" w:rsidRDefault="00F715EC">
            <w:pPr>
              <w:pStyle w:val="CommentText"/>
              <w:jc w:val="center"/>
              <w:rPr>
                <w:rFonts w:eastAsia="仿宋_GB2312"/>
                <w:b/>
                <w:sz w:val="24"/>
              </w:rPr>
            </w:pPr>
            <w:r>
              <w:rPr>
                <w:rFonts w:eastAsia="仿宋_GB2312" w:hint="eastAsia"/>
                <w:b/>
                <w:sz w:val="24"/>
              </w:rPr>
              <w:t>参加人员</w:t>
            </w:r>
          </w:p>
        </w:tc>
        <w:tc>
          <w:tcPr>
            <w:tcW w:w="1445" w:type="dxa"/>
            <w:vAlign w:val="center"/>
          </w:tcPr>
          <w:p w:rsidR="00F715EC" w:rsidRDefault="00F715EC">
            <w:pPr>
              <w:pStyle w:val="CommentText"/>
              <w:jc w:val="center"/>
              <w:rPr>
                <w:rFonts w:eastAsia="仿宋_GB2312"/>
                <w:b/>
                <w:sz w:val="24"/>
              </w:rPr>
            </w:pPr>
            <w:r>
              <w:rPr>
                <w:rFonts w:eastAsia="仿宋_GB2312" w:hint="eastAsia"/>
                <w:b/>
                <w:sz w:val="24"/>
              </w:rPr>
              <w:t>地点</w:t>
            </w:r>
          </w:p>
        </w:tc>
      </w:tr>
      <w:tr w:rsidR="00F715EC">
        <w:trPr>
          <w:trHeight w:val="568"/>
          <w:jc w:val="center"/>
        </w:trPr>
        <w:tc>
          <w:tcPr>
            <w:tcW w:w="966" w:type="dxa"/>
            <w:vAlign w:val="center"/>
          </w:tcPr>
          <w:p w:rsidR="00F715EC" w:rsidRDefault="00F715EC">
            <w:pPr>
              <w:widowControl w:val="0"/>
              <w:shd w:val="solid" w:color="FFFFFF" w:fill="auto"/>
              <w:autoSpaceDN w:val="0"/>
              <w:jc w:val="center"/>
              <w:rPr>
                <w:rFonts w:eastAsia="仿宋_GB2312"/>
                <w:sz w:val="24"/>
                <w:shd w:val="clear" w:color="auto" w:fill="FFFFFF"/>
              </w:rPr>
            </w:pPr>
            <w:r>
              <w:rPr>
                <w:rFonts w:eastAsia="仿宋_GB2312" w:hint="eastAsia"/>
                <w:sz w:val="24"/>
                <w:shd w:val="clear" w:color="auto" w:fill="FFFFFF"/>
              </w:rPr>
              <w:t>裁判员报到日</w:t>
            </w:r>
          </w:p>
        </w:tc>
        <w:tc>
          <w:tcPr>
            <w:tcW w:w="1614" w:type="dxa"/>
            <w:vAlign w:val="center"/>
          </w:tcPr>
          <w:p w:rsidR="00F715EC" w:rsidRDefault="00F715EC">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20:00</w:t>
            </w:r>
            <w:r>
              <w:rPr>
                <w:rFonts w:eastAsia="仿宋_GB2312" w:hint="eastAsia"/>
                <w:sz w:val="24"/>
                <w:shd w:val="clear" w:color="auto" w:fill="FFFFFF"/>
              </w:rPr>
              <w:t>前</w:t>
            </w:r>
          </w:p>
        </w:tc>
        <w:tc>
          <w:tcPr>
            <w:tcW w:w="2486"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裁判、仲裁、监督报到</w:t>
            </w:r>
          </w:p>
        </w:tc>
        <w:tc>
          <w:tcPr>
            <w:tcW w:w="2549"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工作人员</w:t>
            </w:r>
          </w:p>
        </w:tc>
        <w:tc>
          <w:tcPr>
            <w:tcW w:w="1445" w:type="dxa"/>
            <w:vAlign w:val="center"/>
          </w:tcPr>
          <w:p w:rsidR="00F715EC" w:rsidRDefault="00F715EC">
            <w:pPr>
              <w:pStyle w:val="CommentText"/>
              <w:jc w:val="center"/>
              <w:rPr>
                <w:rFonts w:eastAsia="仿宋_GB2312"/>
                <w:sz w:val="24"/>
              </w:rPr>
            </w:pPr>
            <w:r>
              <w:rPr>
                <w:rFonts w:eastAsia="仿宋_GB2312" w:hint="eastAsia"/>
                <w:sz w:val="24"/>
                <w:shd w:val="clear" w:color="auto" w:fill="FFFFFF"/>
              </w:rPr>
              <w:t>住宿酒店</w:t>
            </w:r>
          </w:p>
        </w:tc>
      </w:tr>
      <w:tr w:rsidR="00F715EC">
        <w:trPr>
          <w:trHeight w:val="568"/>
          <w:jc w:val="center"/>
        </w:trPr>
        <w:tc>
          <w:tcPr>
            <w:tcW w:w="966" w:type="dxa"/>
            <w:vMerge w:val="restart"/>
            <w:vAlign w:val="center"/>
          </w:tcPr>
          <w:p w:rsidR="00F715EC" w:rsidRDefault="00F715EC">
            <w:pPr>
              <w:widowControl w:val="0"/>
              <w:shd w:val="solid" w:color="FFFFFF" w:fill="auto"/>
              <w:autoSpaceDN w:val="0"/>
              <w:jc w:val="center"/>
              <w:rPr>
                <w:rFonts w:eastAsia="仿宋_GB2312"/>
                <w:sz w:val="24"/>
                <w:shd w:val="clear" w:color="auto" w:fill="FFFFFF"/>
              </w:rPr>
            </w:pPr>
            <w:r>
              <w:rPr>
                <w:rFonts w:eastAsia="仿宋_GB2312" w:hint="eastAsia"/>
                <w:sz w:val="24"/>
                <w:shd w:val="clear" w:color="auto" w:fill="FFFFFF"/>
              </w:rPr>
              <w:t>参赛队报到日</w:t>
            </w:r>
          </w:p>
        </w:tc>
        <w:tc>
          <w:tcPr>
            <w:tcW w:w="1614" w:type="dxa"/>
            <w:vAlign w:val="center"/>
          </w:tcPr>
          <w:p w:rsidR="00F715EC" w:rsidRDefault="00F715EC">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09:00-14:30</w:t>
            </w:r>
          </w:p>
        </w:tc>
        <w:tc>
          <w:tcPr>
            <w:tcW w:w="2486"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参赛队报到，安排住宿，领取资料</w:t>
            </w:r>
          </w:p>
        </w:tc>
        <w:tc>
          <w:tcPr>
            <w:tcW w:w="2549"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工作人员、参赛队</w:t>
            </w:r>
          </w:p>
        </w:tc>
        <w:tc>
          <w:tcPr>
            <w:tcW w:w="1445"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住宿酒店</w:t>
            </w:r>
          </w:p>
        </w:tc>
      </w:tr>
      <w:tr w:rsidR="00F715EC">
        <w:trPr>
          <w:trHeight w:val="647"/>
          <w:jc w:val="center"/>
        </w:trPr>
        <w:tc>
          <w:tcPr>
            <w:tcW w:w="966" w:type="dxa"/>
            <w:vMerge/>
            <w:vAlign w:val="center"/>
          </w:tcPr>
          <w:p w:rsidR="00F715EC" w:rsidRDefault="00F715EC">
            <w:pPr>
              <w:widowControl w:val="0"/>
              <w:shd w:val="solid" w:color="FFFFFF" w:fill="auto"/>
              <w:autoSpaceDN w:val="0"/>
              <w:jc w:val="center"/>
              <w:rPr>
                <w:rFonts w:eastAsia="仿宋_GB2312"/>
                <w:sz w:val="24"/>
                <w:shd w:val="clear" w:color="auto" w:fill="FFFFFF"/>
              </w:rPr>
            </w:pPr>
          </w:p>
        </w:tc>
        <w:tc>
          <w:tcPr>
            <w:tcW w:w="1614" w:type="dxa"/>
            <w:vAlign w:val="center"/>
          </w:tcPr>
          <w:p w:rsidR="00F715EC" w:rsidRDefault="00F715EC">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09:00-12:00</w:t>
            </w:r>
          </w:p>
        </w:tc>
        <w:tc>
          <w:tcPr>
            <w:tcW w:w="2486" w:type="dxa"/>
            <w:vAlign w:val="center"/>
          </w:tcPr>
          <w:p w:rsidR="00F715EC" w:rsidRDefault="00F715EC">
            <w:pPr>
              <w:widowControl w:val="0"/>
              <w:shd w:val="solid" w:color="FFFFFF" w:fill="auto"/>
              <w:autoSpaceDN w:val="0"/>
              <w:jc w:val="center"/>
              <w:rPr>
                <w:rFonts w:eastAsia="仿宋_GB2312"/>
                <w:sz w:val="24"/>
                <w:shd w:val="clear" w:color="auto" w:fill="FFFFFF"/>
              </w:rPr>
            </w:pPr>
            <w:r>
              <w:rPr>
                <w:rFonts w:eastAsia="仿宋_GB2312" w:hint="eastAsia"/>
                <w:sz w:val="24"/>
                <w:shd w:val="clear" w:color="auto" w:fill="FFFFFF"/>
              </w:rPr>
              <w:t>裁判培训会议</w:t>
            </w:r>
          </w:p>
        </w:tc>
        <w:tc>
          <w:tcPr>
            <w:tcW w:w="2549"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裁判长、裁判员、监督组、专家组</w:t>
            </w:r>
          </w:p>
        </w:tc>
        <w:tc>
          <w:tcPr>
            <w:tcW w:w="1445"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会议室</w:t>
            </w:r>
          </w:p>
        </w:tc>
      </w:tr>
      <w:tr w:rsidR="00F715EC">
        <w:trPr>
          <w:trHeight w:val="568"/>
          <w:jc w:val="center"/>
        </w:trPr>
        <w:tc>
          <w:tcPr>
            <w:tcW w:w="966" w:type="dxa"/>
            <w:vMerge/>
            <w:vAlign w:val="center"/>
          </w:tcPr>
          <w:p w:rsidR="00F715EC" w:rsidRDefault="00F715EC">
            <w:pPr>
              <w:widowControl w:val="0"/>
              <w:shd w:val="solid" w:color="FFFFFF" w:fill="auto"/>
              <w:autoSpaceDN w:val="0"/>
              <w:jc w:val="center"/>
              <w:rPr>
                <w:rFonts w:eastAsia="仿宋_GB2312"/>
                <w:sz w:val="24"/>
                <w:shd w:val="clear" w:color="auto" w:fill="FFFFFF"/>
              </w:rPr>
            </w:pPr>
          </w:p>
        </w:tc>
        <w:tc>
          <w:tcPr>
            <w:tcW w:w="1614" w:type="dxa"/>
            <w:vAlign w:val="center"/>
          </w:tcPr>
          <w:p w:rsidR="00F715EC" w:rsidRDefault="00F715EC">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13:00-14:30</w:t>
            </w:r>
          </w:p>
        </w:tc>
        <w:tc>
          <w:tcPr>
            <w:tcW w:w="2486"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裁判工作会议</w:t>
            </w:r>
          </w:p>
        </w:tc>
        <w:tc>
          <w:tcPr>
            <w:tcW w:w="2549"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裁判长、裁判员、监督组</w:t>
            </w:r>
          </w:p>
        </w:tc>
        <w:tc>
          <w:tcPr>
            <w:tcW w:w="1445"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会议室</w:t>
            </w:r>
          </w:p>
        </w:tc>
      </w:tr>
      <w:tr w:rsidR="00F715EC">
        <w:trPr>
          <w:trHeight w:val="568"/>
          <w:jc w:val="center"/>
        </w:trPr>
        <w:tc>
          <w:tcPr>
            <w:tcW w:w="966" w:type="dxa"/>
            <w:vMerge/>
            <w:vAlign w:val="center"/>
          </w:tcPr>
          <w:p w:rsidR="00F715EC" w:rsidRDefault="00F715EC">
            <w:pPr>
              <w:widowControl w:val="0"/>
              <w:shd w:val="solid" w:color="FFFFFF" w:fill="auto"/>
              <w:autoSpaceDN w:val="0"/>
              <w:jc w:val="center"/>
              <w:rPr>
                <w:rFonts w:eastAsia="仿宋_GB2312"/>
                <w:sz w:val="24"/>
                <w:shd w:val="clear" w:color="auto" w:fill="FFFFFF"/>
              </w:rPr>
            </w:pPr>
          </w:p>
        </w:tc>
        <w:tc>
          <w:tcPr>
            <w:tcW w:w="1614" w:type="dxa"/>
            <w:vAlign w:val="center"/>
          </w:tcPr>
          <w:p w:rsidR="00F715EC" w:rsidRDefault="00F715EC">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15:00-16:00</w:t>
            </w:r>
          </w:p>
        </w:tc>
        <w:tc>
          <w:tcPr>
            <w:tcW w:w="2486"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领队会、第一次抽签加密（抽序号）</w:t>
            </w:r>
          </w:p>
        </w:tc>
        <w:tc>
          <w:tcPr>
            <w:tcW w:w="2549"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参赛选手、第一次加密裁判、监督</w:t>
            </w:r>
          </w:p>
        </w:tc>
        <w:tc>
          <w:tcPr>
            <w:tcW w:w="1445"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会议室</w:t>
            </w:r>
          </w:p>
        </w:tc>
      </w:tr>
      <w:tr w:rsidR="00F715EC">
        <w:trPr>
          <w:trHeight w:val="568"/>
          <w:jc w:val="center"/>
        </w:trPr>
        <w:tc>
          <w:tcPr>
            <w:tcW w:w="966" w:type="dxa"/>
            <w:vMerge/>
            <w:vAlign w:val="center"/>
          </w:tcPr>
          <w:p w:rsidR="00F715EC" w:rsidRDefault="00F715EC">
            <w:pPr>
              <w:widowControl w:val="0"/>
              <w:shd w:val="solid" w:color="FFFFFF" w:fill="auto"/>
              <w:autoSpaceDN w:val="0"/>
              <w:jc w:val="center"/>
              <w:rPr>
                <w:rFonts w:eastAsia="仿宋_GB2312"/>
                <w:sz w:val="24"/>
                <w:shd w:val="clear" w:color="auto" w:fill="FFFFFF"/>
              </w:rPr>
            </w:pPr>
          </w:p>
        </w:tc>
        <w:tc>
          <w:tcPr>
            <w:tcW w:w="1614" w:type="dxa"/>
            <w:vAlign w:val="center"/>
          </w:tcPr>
          <w:p w:rsidR="00F715EC" w:rsidRDefault="00F715EC">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16:00-16:30</w:t>
            </w:r>
          </w:p>
        </w:tc>
        <w:tc>
          <w:tcPr>
            <w:tcW w:w="2486"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熟悉赛场</w:t>
            </w:r>
          </w:p>
        </w:tc>
        <w:tc>
          <w:tcPr>
            <w:tcW w:w="2549"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各参赛队</w:t>
            </w:r>
          </w:p>
        </w:tc>
        <w:tc>
          <w:tcPr>
            <w:tcW w:w="1445"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竞赛场地</w:t>
            </w:r>
          </w:p>
        </w:tc>
      </w:tr>
      <w:tr w:rsidR="00F715EC">
        <w:trPr>
          <w:trHeight w:val="568"/>
          <w:jc w:val="center"/>
        </w:trPr>
        <w:tc>
          <w:tcPr>
            <w:tcW w:w="966" w:type="dxa"/>
            <w:vMerge/>
            <w:vAlign w:val="center"/>
          </w:tcPr>
          <w:p w:rsidR="00F715EC" w:rsidRDefault="00F715EC">
            <w:pPr>
              <w:widowControl w:val="0"/>
              <w:shd w:val="solid" w:color="FFFFFF" w:fill="auto"/>
              <w:autoSpaceDN w:val="0"/>
              <w:jc w:val="center"/>
              <w:rPr>
                <w:rFonts w:eastAsia="仿宋_GB2312"/>
                <w:sz w:val="24"/>
                <w:shd w:val="clear" w:color="auto" w:fill="FFFFFF"/>
              </w:rPr>
            </w:pPr>
          </w:p>
        </w:tc>
        <w:tc>
          <w:tcPr>
            <w:tcW w:w="1614" w:type="dxa"/>
            <w:vAlign w:val="center"/>
          </w:tcPr>
          <w:p w:rsidR="00F715EC" w:rsidRDefault="00F715EC">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16:30</w:t>
            </w:r>
          </w:p>
        </w:tc>
        <w:tc>
          <w:tcPr>
            <w:tcW w:w="2486"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检查封闭赛场</w:t>
            </w:r>
          </w:p>
        </w:tc>
        <w:tc>
          <w:tcPr>
            <w:tcW w:w="2549"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裁判长、监督组</w:t>
            </w:r>
          </w:p>
        </w:tc>
        <w:tc>
          <w:tcPr>
            <w:tcW w:w="1445"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竞赛场地</w:t>
            </w:r>
          </w:p>
        </w:tc>
      </w:tr>
      <w:tr w:rsidR="00F715EC">
        <w:trPr>
          <w:trHeight w:val="568"/>
          <w:jc w:val="center"/>
        </w:trPr>
        <w:tc>
          <w:tcPr>
            <w:tcW w:w="966" w:type="dxa"/>
            <w:vMerge/>
            <w:vAlign w:val="center"/>
          </w:tcPr>
          <w:p w:rsidR="00F715EC" w:rsidRDefault="00F715EC">
            <w:pPr>
              <w:widowControl w:val="0"/>
              <w:shd w:val="solid" w:color="FFFFFF" w:fill="auto"/>
              <w:autoSpaceDN w:val="0"/>
              <w:jc w:val="center"/>
              <w:rPr>
                <w:rFonts w:eastAsia="仿宋_GB2312"/>
                <w:sz w:val="24"/>
                <w:shd w:val="clear" w:color="auto" w:fill="FFFFFF"/>
              </w:rPr>
            </w:pPr>
          </w:p>
        </w:tc>
        <w:tc>
          <w:tcPr>
            <w:tcW w:w="1614" w:type="dxa"/>
            <w:vAlign w:val="center"/>
          </w:tcPr>
          <w:p w:rsidR="00F715EC" w:rsidRDefault="00F715EC">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16:40</w:t>
            </w:r>
          </w:p>
        </w:tc>
        <w:tc>
          <w:tcPr>
            <w:tcW w:w="2486"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参赛领队返回酒店</w:t>
            </w:r>
          </w:p>
        </w:tc>
        <w:tc>
          <w:tcPr>
            <w:tcW w:w="2549"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p>
        </w:tc>
        <w:tc>
          <w:tcPr>
            <w:tcW w:w="1445"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p>
        </w:tc>
      </w:tr>
      <w:tr w:rsidR="00F715EC">
        <w:trPr>
          <w:trHeight w:val="707"/>
          <w:jc w:val="center"/>
        </w:trPr>
        <w:tc>
          <w:tcPr>
            <w:tcW w:w="966" w:type="dxa"/>
            <w:vMerge w:val="restart"/>
            <w:vAlign w:val="center"/>
          </w:tcPr>
          <w:p w:rsidR="00F715EC" w:rsidRDefault="00F715EC">
            <w:pPr>
              <w:widowControl w:val="0"/>
              <w:shd w:val="solid" w:color="FFFFFF" w:fill="auto"/>
              <w:autoSpaceDN w:val="0"/>
              <w:jc w:val="center"/>
              <w:rPr>
                <w:rFonts w:eastAsia="仿宋_GB2312"/>
                <w:sz w:val="24"/>
                <w:shd w:val="clear" w:color="auto" w:fill="FFFFFF"/>
              </w:rPr>
            </w:pPr>
            <w:r>
              <w:rPr>
                <w:rFonts w:eastAsia="仿宋_GB2312" w:hint="eastAsia"/>
                <w:sz w:val="24"/>
                <w:shd w:val="clear" w:color="auto" w:fill="FFFFFF"/>
              </w:rPr>
              <w:t>竞赛日</w:t>
            </w:r>
          </w:p>
        </w:tc>
        <w:tc>
          <w:tcPr>
            <w:tcW w:w="1614" w:type="dxa"/>
            <w:vAlign w:val="center"/>
          </w:tcPr>
          <w:p w:rsidR="00F715EC" w:rsidRDefault="00F715EC">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07:30</w:t>
            </w:r>
          </w:p>
        </w:tc>
        <w:tc>
          <w:tcPr>
            <w:tcW w:w="2486"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参赛队到达竞赛场地前集合</w:t>
            </w:r>
          </w:p>
        </w:tc>
        <w:tc>
          <w:tcPr>
            <w:tcW w:w="2549"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各参赛队、工作人员</w:t>
            </w:r>
          </w:p>
        </w:tc>
        <w:tc>
          <w:tcPr>
            <w:tcW w:w="1445"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竞赛场地前</w:t>
            </w:r>
          </w:p>
        </w:tc>
      </w:tr>
      <w:tr w:rsidR="00F715EC">
        <w:trPr>
          <w:trHeight w:val="632"/>
          <w:jc w:val="center"/>
        </w:trPr>
        <w:tc>
          <w:tcPr>
            <w:tcW w:w="966" w:type="dxa"/>
            <w:vMerge/>
            <w:vAlign w:val="center"/>
          </w:tcPr>
          <w:p w:rsidR="00F715EC" w:rsidRDefault="00F715EC">
            <w:pPr>
              <w:widowControl w:val="0"/>
              <w:shd w:val="solid" w:color="FFFFFF" w:fill="auto"/>
              <w:autoSpaceDN w:val="0"/>
              <w:jc w:val="center"/>
              <w:rPr>
                <w:rFonts w:eastAsia="仿宋_GB2312"/>
                <w:sz w:val="24"/>
                <w:shd w:val="clear" w:color="auto" w:fill="FFFFFF"/>
              </w:rPr>
            </w:pPr>
          </w:p>
        </w:tc>
        <w:tc>
          <w:tcPr>
            <w:tcW w:w="1614" w:type="dxa"/>
            <w:vAlign w:val="center"/>
          </w:tcPr>
          <w:p w:rsidR="00F715EC" w:rsidRDefault="00F715EC">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07:30-07:50</w:t>
            </w:r>
          </w:p>
        </w:tc>
        <w:tc>
          <w:tcPr>
            <w:tcW w:w="2486"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大赛检录</w:t>
            </w:r>
          </w:p>
        </w:tc>
        <w:tc>
          <w:tcPr>
            <w:tcW w:w="2549"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参赛选手，检录工作人员</w:t>
            </w:r>
          </w:p>
        </w:tc>
        <w:tc>
          <w:tcPr>
            <w:tcW w:w="1445"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竞赛场地前</w:t>
            </w:r>
          </w:p>
        </w:tc>
      </w:tr>
      <w:tr w:rsidR="00F715EC">
        <w:trPr>
          <w:trHeight w:val="568"/>
          <w:jc w:val="center"/>
        </w:trPr>
        <w:tc>
          <w:tcPr>
            <w:tcW w:w="966" w:type="dxa"/>
            <w:vMerge/>
            <w:vAlign w:val="center"/>
          </w:tcPr>
          <w:p w:rsidR="00F715EC" w:rsidRDefault="00F715EC">
            <w:pPr>
              <w:widowControl w:val="0"/>
              <w:shd w:val="solid" w:color="FFFFFF" w:fill="auto"/>
              <w:autoSpaceDN w:val="0"/>
              <w:jc w:val="center"/>
              <w:rPr>
                <w:rFonts w:eastAsia="仿宋_GB2312"/>
                <w:sz w:val="24"/>
                <w:shd w:val="clear" w:color="auto" w:fill="FFFFFF"/>
              </w:rPr>
            </w:pPr>
          </w:p>
        </w:tc>
        <w:tc>
          <w:tcPr>
            <w:tcW w:w="1614" w:type="dxa"/>
            <w:vAlign w:val="center"/>
          </w:tcPr>
          <w:p w:rsidR="00F715EC" w:rsidRDefault="00F715EC">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07:50-08:00</w:t>
            </w:r>
          </w:p>
        </w:tc>
        <w:tc>
          <w:tcPr>
            <w:tcW w:w="2486"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赛前准备</w:t>
            </w:r>
          </w:p>
        </w:tc>
        <w:tc>
          <w:tcPr>
            <w:tcW w:w="2549"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参赛选手、裁判、监督、仲裁</w:t>
            </w:r>
          </w:p>
        </w:tc>
        <w:tc>
          <w:tcPr>
            <w:tcW w:w="1445"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竞赛场地</w:t>
            </w:r>
          </w:p>
        </w:tc>
      </w:tr>
      <w:tr w:rsidR="00F715EC">
        <w:trPr>
          <w:trHeight w:val="528"/>
          <w:jc w:val="center"/>
        </w:trPr>
        <w:tc>
          <w:tcPr>
            <w:tcW w:w="966" w:type="dxa"/>
            <w:vMerge/>
            <w:vAlign w:val="center"/>
          </w:tcPr>
          <w:p w:rsidR="00F715EC" w:rsidRDefault="00F715EC">
            <w:pPr>
              <w:widowControl w:val="0"/>
              <w:shd w:val="solid" w:color="FFFFFF" w:fill="auto"/>
              <w:autoSpaceDN w:val="0"/>
              <w:jc w:val="center"/>
              <w:rPr>
                <w:rFonts w:eastAsia="仿宋_GB2312"/>
                <w:sz w:val="24"/>
                <w:shd w:val="clear" w:color="auto" w:fill="FFFFFF"/>
              </w:rPr>
            </w:pPr>
          </w:p>
        </w:tc>
        <w:tc>
          <w:tcPr>
            <w:tcW w:w="1614" w:type="dxa"/>
            <w:vAlign w:val="center"/>
          </w:tcPr>
          <w:p w:rsidR="00F715EC" w:rsidRDefault="00F715EC">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08:00-08:25</w:t>
            </w:r>
          </w:p>
        </w:tc>
        <w:tc>
          <w:tcPr>
            <w:tcW w:w="2486" w:type="dxa"/>
            <w:vAlign w:val="center"/>
          </w:tcPr>
          <w:p w:rsidR="00F715EC" w:rsidRDefault="00F715EC">
            <w:pPr>
              <w:widowControl w:val="0"/>
              <w:shd w:val="solid" w:color="FFFFFF" w:fill="auto"/>
              <w:autoSpaceDN w:val="0"/>
              <w:jc w:val="center"/>
              <w:rPr>
                <w:rFonts w:ascii="Times New Roman" w:eastAsia="仿宋_GB2312" w:hAnsi="Times New Roman"/>
                <w:color w:val="000000"/>
                <w:kern w:val="2"/>
                <w:sz w:val="24"/>
                <w:szCs w:val="24"/>
                <w:shd w:val="clear" w:color="auto" w:fill="FFFFFF"/>
              </w:rPr>
            </w:pPr>
            <w:r>
              <w:rPr>
                <w:rFonts w:eastAsia="仿宋_GB2312" w:hint="eastAsia"/>
                <w:color w:val="000000"/>
                <w:sz w:val="24"/>
                <w:shd w:val="clear" w:color="auto" w:fill="FFFFFF"/>
              </w:rPr>
              <w:t>开赛式</w:t>
            </w:r>
          </w:p>
        </w:tc>
        <w:tc>
          <w:tcPr>
            <w:tcW w:w="2549" w:type="dxa"/>
            <w:vAlign w:val="center"/>
          </w:tcPr>
          <w:p w:rsidR="00F715EC" w:rsidRDefault="00F715EC">
            <w:pPr>
              <w:widowControl w:val="0"/>
              <w:shd w:val="solid" w:color="FFFFFF" w:fill="auto"/>
              <w:autoSpaceDN w:val="0"/>
              <w:jc w:val="center"/>
              <w:rPr>
                <w:rFonts w:ascii="Times New Roman" w:eastAsia="仿宋_GB2312" w:hAnsi="Times New Roman"/>
                <w:color w:val="000000"/>
                <w:kern w:val="2"/>
                <w:sz w:val="24"/>
                <w:szCs w:val="24"/>
                <w:shd w:val="clear" w:color="auto" w:fill="FFFFFF"/>
              </w:rPr>
            </w:pPr>
            <w:r>
              <w:rPr>
                <w:rFonts w:eastAsia="仿宋_GB2312" w:hint="eastAsia"/>
                <w:color w:val="000000"/>
                <w:sz w:val="24"/>
                <w:shd w:val="clear" w:color="auto" w:fill="FFFFFF"/>
              </w:rPr>
              <w:t>所有人员</w:t>
            </w:r>
          </w:p>
        </w:tc>
        <w:tc>
          <w:tcPr>
            <w:tcW w:w="1445" w:type="dxa"/>
            <w:vAlign w:val="center"/>
          </w:tcPr>
          <w:p w:rsidR="00F715EC" w:rsidRDefault="00F715EC">
            <w:pPr>
              <w:widowControl w:val="0"/>
              <w:shd w:val="solid" w:color="FFFFFF" w:fill="auto"/>
              <w:autoSpaceDN w:val="0"/>
              <w:jc w:val="center"/>
              <w:rPr>
                <w:rFonts w:ascii="Times New Roman" w:eastAsia="仿宋_GB2312" w:hAnsi="Times New Roman"/>
                <w:color w:val="000000"/>
                <w:kern w:val="2"/>
                <w:sz w:val="24"/>
                <w:szCs w:val="24"/>
                <w:shd w:val="clear" w:color="auto" w:fill="FFFFFF"/>
              </w:rPr>
            </w:pPr>
            <w:r>
              <w:rPr>
                <w:rFonts w:eastAsia="仿宋_GB2312" w:hint="eastAsia"/>
                <w:color w:val="000000"/>
                <w:sz w:val="24"/>
                <w:shd w:val="clear" w:color="auto" w:fill="FFFFFF"/>
              </w:rPr>
              <w:t>竞赛场地</w:t>
            </w:r>
          </w:p>
        </w:tc>
      </w:tr>
      <w:tr w:rsidR="00F715EC">
        <w:trPr>
          <w:trHeight w:val="568"/>
          <w:jc w:val="center"/>
        </w:trPr>
        <w:tc>
          <w:tcPr>
            <w:tcW w:w="966" w:type="dxa"/>
            <w:vMerge/>
            <w:vAlign w:val="center"/>
          </w:tcPr>
          <w:p w:rsidR="00F715EC" w:rsidRDefault="00F715EC">
            <w:pPr>
              <w:widowControl w:val="0"/>
              <w:shd w:val="solid" w:color="FFFFFF" w:fill="auto"/>
              <w:autoSpaceDN w:val="0"/>
              <w:jc w:val="center"/>
              <w:rPr>
                <w:rFonts w:eastAsia="仿宋_GB2312"/>
                <w:sz w:val="24"/>
                <w:shd w:val="clear" w:color="auto" w:fill="FFFFFF"/>
              </w:rPr>
            </w:pPr>
          </w:p>
        </w:tc>
        <w:tc>
          <w:tcPr>
            <w:tcW w:w="1614" w:type="dxa"/>
            <w:vAlign w:val="center"/>
          </w:tcPr>
          <w:p w:rsidR="00F715EC" w:rsidRDefault="00F715EC">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08:25-08:30</w:t>
            </w:r>
          </w:p>
        </w:tc>
        <w:tc>
          <w:tcPr>
            <w:tcW w:w="2486" w:type="dxa"/>
            <w:vAlign w:val="center"/>
          </w:tcPr>
          <w:p w:rsidR="00F715EC" w:rsidRDefault="00F715EC">
            <w:pPr>
              <w:shd w:val="solid" w:color="FFFFFF" w:fill="auto"/>
              <w:autoSpaceDN w:val="0"/>
              <w:jc w:val="center"/>
              <w:rPr>
                <w:rFonts w:ascii="Times New Roman" w:eastAsia="仿宋_GB2312" w:hAnsi="Times New Roman"/>
                <w:sz w:val="24"/>
                <w:szCs w:val="24"/>
                <w:shd w:val="clear" w:color="auto" w:fill="FFFFFF"/>
              </w:rPr>
            </w:pPr>
            <w:r>
              <w:rPr>
                <w:rFonts w:eastAsia="仿宋_GB2312" w:hint="eastAsia"/>
                <w:sz w:val="24"/>
                <w:shd w:val="clear" w:color="auto" w:fill="FFFFFF"/>
              </w:rPr>
              <w:t>比赛选手就位，裁判员宣读竞赛须知</w:t>
            </w:r>
          </w:p>
        </w:tc>
        <w:tc>
          <w:tcPr>
            <w:tcW w:w="2549"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参赛选手、裁判、监督、仲裁</w:t>
            </w:r>
          </w:p>
        </w:tc>
        <w:tc>
          <w:tcPr>
            <w:tcW w:w="1445"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竞赛场地</w:t>
            </w:r>
          </w:p>
        </w:tc>
      </w:tr>
      <w:tr w:rsidR="00F715EC">
        <w:trPr>
          <w:trHeight w:val="568"/>
          <w:jc w:val="center"/>
        </w:trPr>
        <w:tc>
          <w:tcPr>
            <w:tcW w:w="966" w:type="dxa"/>
            <w:vMerge/>
            <w:vAlign w:val="center"/>
          </w:tcPr>
          <w:p w:rsidR="00F715EC" w:rsidRDefault="00F715EC">
            <w:pPr>
              <w:widowControl w:val="0"/>
              <w:shd w:val="solid" w:color="FFFFFF" w:fill="auto"/>
              <w:autoSpaceDN w:val="0"/>
              <w:jc w:val="center"/>
              <w:rPr>
                <w:rFonts w:eastAsia="仿宋_GB2312"/>
                <w:sz w:val="24"/>
                <w:shd w:val="clear" w:color="auto" w:fill="FFFFFF"/>
              </w:rPr>
            </w:pPr>
          </w:p>
        </w:tc>
        <w:tc>
          <w:tcPr>
            <w:tcW w:w="1614" w:type="dxa"/>
            <w:vAlign w:val="center"/>
          </w:tcPr>
          <w:p w:rsidR="00F715EC" w:rsidRDefault="00F715EC">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08:30-09:00</w:t>
            </w:r>
          </w:p>
        </w:tc>
        <w:tc>
          <w:tcPr>
            <w:tcW w:w="2486"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第二次抽签加密（抽工位号）</w:t>
            </w:r>
          </w:p>
        </w:tc>
        <w:tc>
          <w:tcPr>
            <w:tcW w:w="2549"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参赛选手、第二次加密裁判、监督</w:t>
            </w:r>
          </w:p>
        </w:tc>
        <w:tc>
          <w:tcPr>
            <w:tcW w:w="1445"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二次抽签区域</w:t>
            </w:r>
          </w:p>
        </w:tc>
      </w:tr>
      <w:tr w:rsidR="00F715EC">
        <w:trPr>
          <w:trHeight w:val="568"/>
          <w:jc w:val="center"/>
        </w:trPr>
        <w:tc>
          <w:tcPr>
            <w:tcW w:w="966" w:type="dxa"/>
            <w:vMerge/>
            <w:vAlign w:val="center"/>
          </w:tcPr>
          <w:p w:rsidR="00F715EC" w:rsidRDefault="00F715EC">
            <w:pPr>
              <w:widowControl w:val="0"/>
              <w:shd w:val="solid" w:color="FFFFFF" w:fill="auto"/>
              <w:autoSpaceDN w:val="0"/>
              <w:jc w:val="center"/>
              <w:rPr>
                <w:rFonts w:eastAsia="仿宋_GB2312"/>
                <w:sz w:val="24"/>
                <w:shd w:val="clear" w:color="auto" w:fill="FFFFFF"/>
              </w:rPr>
            </w:pPr>
          </w:p>
        </w:tc>
        <w:tc>
          <w:tcPr>
            <w:tcW w:w="1614" w:type="dxa"/>
            <w:vAlign w:val="center"/>
          </w:tcPr>
          <w:p w:rsidR="00F715EC" w:rsidRDefault="00F715EC">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09:00-10:00</w:t>
            </w:r>
          </w:p>
        </w:tc>
        <w:tc>
          <w:tcPr>
            <w:tcW w:w="2486"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营</w:t>
            </w:r>
            <w:r>
              <w:rPr>
                <w:rFonts w:eastAsia="仿宋_GB2312" w:hint="eastAsia"/>
                <w:color w:val="000000"/>
                <w:sz w:val="24"/>
                <w:shd w:val="clear" w:color="auto" w:fill="FFFFFF"/>
              </w:rPr>
              <w:t>销实战模块</w:t>
            </w:r>
            <w:r>
              <w:rPr>
                <w:rFonts w:eastAsia="仿宋_GB2312"/>
                <w:color w:val="000000"/>
                <w:sz w:val="24"/>
                <w:shd w:val="clear" w:color="auto" w:fill="FFFFFF"/>
              </w:rPr>
              <w:t>PPT</w:t>
            </w:r>
            <w:r>
              <w:rPr>
                <w:rFonts w:eastAsia="仿宋_GB2312" w:hint="eastAsia"/>
                <w:color w:val="000000"/>
                <w:sz w:val="24"/>
                <w:shd w:val="clear" w:color="auto" w:fill="FFFFFF"/>
              </w:rPr>
              <w:t>制作</w:t>
            </w:r>
          </w:p>
        </w:tc>
        <w:tc>
          <w:tcPr>
            <w:tcW w:w="2549"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参赛选手、裁判、专家、仲裁、监督</w:t>
            </w:r>
          </w:p>
        </w:tc>
        <w:tc>
          <w:tcPr>
            <w:tcW w:w="1445"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竞赛场地</w:t>
            </w:r>
          </w:p>
        </w:tc>
      </w:tr>
      <w:tr w:rsidR="00F715EC">
        <w:trPr>
          <w:trHeight w:val="857"/>
          <w:jc w:val="center"/>
        </w:trPr>
        <w:tc>
          <w:tcPr>
            <w:tcW w:w="966" w:type="dxa"/>
            <w:vMerge/>
            <w:vAlign w:val="center"/>
          </w:tcPr>
          <w:p w:rsidR="00F715EC" w:rsidRDefault="00F715EC">
            <w:pPr>
              <w:widowControl w:val="0"/>
              <w:shd w:val="solid" w:color="FFFFFF" w:fill="auto"/>
              <w:autoSpaceDN w:val="0"/>
              <w:jc w:val="center"/>
              <w:rPr>
                <w:rFonts w:eastAsia="仿宋_GB2312"/>
                <w:sz w:val="24"/>
                <w:shd w:val="clear" w:color="auto" w:fill="FFFFFF"/>
              </w:rPr>
            </w:pPr>
          </w:p>
        </w:tc>
        <w:tc>
          <w:tcPr>
            <w:tcW w:w="1614" w:type="dxa"/>
            <w:vAlign w:val="center"/>
          </w:tcPr>
          <w:p w:rsidR="00F715EC" w:rsidRDefault="00F715EC">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10:05-11:35</w:t>
            </w:r>
          </w:p>
        </w:tc>
        <w:tc>
          <w:tcPr>
            <w:tcW w:w="2486"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营销实战模块汇报及答辩</w:t>
            </w:r>
          </w:p>
        </w:tc>
        <w:tc>
          <w:tcPr>
            <w:tcW w:w="2549"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参赛选手、裁判、专家、监督、仲裁</w:t>
            </w:r>
          </w:p>
        </w:tc>
        <w:tc>
          <w:tcPr>
            <w:tcW w:w="1445"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答辩场地</w:t>
            </w:r>
          </w:p>
        </w:tc>
      </w:tr>
      <w:tr w:rsidR="00F715EC">
        <w:trPr>
          <w:trHeight w:val="773"/>
          <w:jc w:val="center"/>
        </w:trPr>
        <w:tc>
          <w:tcPr>
            <w:tcW w:w="966" w:type="dxa"/>
            <w:vMerge/>
            <w:vAlign w:val="center"/>
          </w:tcPr>
          <w:p w:rsidR="00F715EC" w:rsidRDefault="00F715EC">
            <w:pPr>
              <w:widowControl w:val="0"/>
              <w:shd w:val="solid" w:color="FFFFFF" w:fill="auto"/>
              <w:autoSpaceDN w:val="0"/>
              <w:jc w:val="center"/>
              <w:rPr>
                <w:rFonts w:eastAsia="仿宋_GB2312"/>
                <w:sz w:val="24"/>
                <w:shd w:val="clear" w:color="auto" w:fill="FFFFFF"/>
              </w:rPr>
            </w:pPr>
          </w:p>
        </w:tc>
        <w:tc>
          <w:tcPr>
            <w:tcW w:w="1614" w:type="dxa"/>
            <w:vAlign w:val="center"/>
          </w:tcPr>
          <w:p w:rsidR="00F715EC" w:rsidRDefault="00F715EC">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11:35-12:15</w:t>
            </w:r>
          </w:p>
        </w:tc>
        <w:tc>
          <w:tcPr>
            <w:tcW w:w="2486"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午餐</w:t>
            </w:r>
          </w:p>
        </w:tc>
        <w:tc>
          <w:tcPr>
            <w:tcW w:w="2549"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参赛选手、工作人员</w:t>
            </w:r>
          </w:p>
        </w:tc>
        <w:tc>
          <w:tcPr>
            <w:tcW w:w="1445"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竞赛场地</w:t>
            </w:r>
          </w:p>
        </w:tc>
      </w:tr>
      <w:tr w:rsidR="00F715EC">
        <w:trPr>
          <w:trHeight w:val="568"/>
          <w:jc w:val="center"/>
        </w:trPr>
        <w:tc>
          <w:tcPr>
            <w:tcW w:w="966" w:type="dxa"/>
            <w:vMerge/>
            <w:vAlign w:val="center"/>
          </w:tcPr>
          <w:p w:rsidR="00F715EC" w:rsidRDefault="00F715EC">
            <w:pPr>
              <w:widowControl w:val="0"/>
              <w:shd w:val="solid" w:color="FFFFFF" w:fill="auto"/>
              <w:autoSpaceDN w:val="0"/>
              <w:jc w:val="center"/>
              <w:rPr>
                <w:rFonts w:eastAsia="仿宋_GB2312"/>
                <w:sz w:val="24"/>
                <w:shd w:val="clear" w:color="auto" w:fill="FFFFFF"/>
              </w:rPr>
            </w:pPr>
          </w:p>
        </w:tc>
        <w:tc>
          <w:tcPr>
            <w:tcW w:w="1614" w:type="dxa"/>
            <w:vAlign w:val="center"/>
          </w:tcPr>
          <w:p w:rsidR="00F715EC" w:rsidRDefault="00F715EC">
            <w:pPr>
              <w:widowControl w:val="0"/>
              <w:shd w:val="solid" w:color="FFFFFF" w:fill="auto"/>
              <w:autoSpaceDN w:val="0"/>
              <w:jc w:val="center"/>
              <w:rPr>
                <w:rFonts w:eastAsia="仿宋_GB2312"/>
                <w:sz w:val="24"/>
                <w:shd w:val="clear" w:color="auto" w:fill="FFFFFF"/>
              </w:rPr>
            </w:pPr>
            <w:r>
              <w:rPr>
                <w:rFonts w:eastAsia="仿宋_GB2312"/>
                <w:sz w:val="24"/>
                <w:shd w:val="clear" w:color="auto" w:fill="FFFFFF"/>
              </w:rPr>
              <w:t>12:20-17:20</w:t>
            </w:r>
          </w:p>
        </w:tc>
        <w:tc>
          <w:tcPr>
            <w:tcW w:w="2486"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情境营销模块</w:t>
            </w:r>
          </w:p>
        </w:tc>
        <w:tc>
          <w:tcPr>
            <w:tcW w:w="2549" w:type="dxa"/>
            <w:vAlign w:val="center"/>
          </w:tcPr>
          <w:p w:rsidR="00F715EC" w:rsidRDefault="00F715EC">
            <w:pPr>
              <w:widowControl w:val="0"/>
              <w:shd w:val="solid" w:color="FFFFFF" w:fill="auto"/>
              <w:autoSpaceDN w:val="0"/>
              <w:jc w:val="center"/>
              <w:rPr>
                <w:rFonts w:ascii="Times New Roman" w:eastAsia="仿宋_GB2312" w:hAnsi="Times New Roman"/>
                <w:kern w:val="2"/>
                <w:sz w:val="24"/>
                <w:szCs w:val="24"/>
                <w:shd w:val="clear" w:color="auto" w:fill="FFFFFF"/>
              </w:rPr>
            </w:pPr>
            <w:r>
              <w:rPr>
                <w:rFonts w:eastAsia="仿宋_GB2312" w:hint="eastAsia"/>
                <w:sz w:val="24"/>
                <w:shd w:val="clear" w:color="auto" w:fill="FFFFFF"/>
              </w:rPr>
              <w:t>参赛选手、裁判、专家、监督、仲裁</w:t>
            </w:r>
          </w:p>
        </w:tc>
        <w:tc>
          <w:tcPr>
            <w:tcW w:w="1445" w:type="dxa"/>
            <w:vAlign w:val="center"/>
          </w:tcPr>
          <w:p w:rsidR="00F715EC" w:rsidRDefault="00F715EC">
            <w:pPr>
              <w:pStyle w:val="CommentText"/>
              <w:jc w:val="center"/>
              <w:rPr>
                <w:rFonts w:eastAsia="仿宋_GB2312"/>
                <w:sz w:val="24"/>
                <w:shd w:val="clear" w:color="auto" w:fill="FFFFFF"/>
              </w:rPr>
            </w:pPr>
            <w:r>
              <w:rPr>
                <w:rFonts w:eastAsia="仿宋_GB2312" w:hint="eastAsia"/>
                <w:sz w:val="24"/>
                <w:shd w:val="clear" w:color="auto" w:fill="FFFFFF"/>
              </w:rPr>
              <w:t>竞赛场地</w:t>
            </w:r>
          </w:p>
        </w:tc>
      </w:tr>
    </w:tbl>
    <w:p w:rsidR="00F715EC" w:rsidRDefault="00F715EC">
      <w:pPr>
        <w:pStyle w:val="1"/>
        <w:spacing w:before="120" w:after="120"/>
        <w:ind w:firstLineChars="200" w:firstLine="643"/>
        <w:rPr>
          <w:b/>
          <w:sz w:val="32"/>
          <w:szCs w:val="32"/>
        </w:rPr>
      </w:pPr>
      <w:r>
        <w:rPr>
          <w:rFonts w:hint="eastAsia"/>
          <w:b/>
          <w:sz w:val="32"/>
          <w:szCs w:val="32"/>
        </w:rPr>
        <w:t>六、竞赛命题</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本赛项包括营销实战展示和情境营销两个模块。承诺于开赛</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周前公开赛题。</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考核内容包括：</w:t>
      </w:r>
    </w:p>
    <w:p w:rsidR="00F715EC" w:rsidRDefault="00F715EC">
      <w:pPr>
        <w:widowControl w:val="0"/>
        <w:adjustRightInd/>
        <w:snapToGrid/>
        <w:spacing w:after="0" w:line="600" w:lineRule="exact"/>
        <w:ind w:firstLineChars="200" w:firstLine="640"/>
        <w:rPr>
          <w:rFonts w:ascii="楷体" w:eastAsia="楷体" w:hAnsi="楷体"/>
          <w:kern w:val="2"/>
          <w:sz w:val="32"/>
          <w:szCs w:val="32"/>
        </w:rPr>
      </w:pPr>
      <w:r>
        <w:rPr>
          <w:rFonts w:ascii="楷体" w:eastAsia="楷体" w:hAnsi="楷体" w:hint="eastAsia"/>
          <w:kern w:val="2"/>
          <w:sz w:val="32"/>
          <w:szCs w:val="32"/>
        </w:rPr>
        <w:t>（一）营销实战展示（</w:t>
      </w:r>
      <w:r>
        <w:rPr>
          <w:rFonts w:ascii="楷体" w:eastAsia="楷体" w:hAnsi="楷体"/>
          <w:kern w:val="2"/>
          <w:sz w:val="32"/>
          <w:szCs w:val="32"/>
        </w:rPr>
        <w:t>25</w:t>
      </w:r>
      <w:r>
        <w:rPr>
          <w:rFonts w:ascii="楷体" w:eastAsia="楷体" w:hAnsi="楷体" w:hint="eastAsia"/>
          <w:kern w:val="2"/>
          <w:sz w:val="32"/>
          <w:szCs w:val="32"/>
        </w:rPr>
        <w:t>分）</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参赛院校选取真实商品在真实市场环境中进行真实营销典型职业活动，于竞赛当天在赛场完成活动方案和过程管理的总结文案，并按要求借助</w:t>
      </w:r>
      <w:r>
        <w:rPr>
          <w:rFonts w:ascii="仿宋_GB2312" w:eastAsia="仿宋_GB2312" w:hAnsi="仿宋_GB2312" w:cs="仿宋_GB2312"/>
          <w:sz w:val="32"/>
          <w:szCs w:val="32"/>
        </w:rPr>
        <w:t>PPT</w:t>
      </w:r>
      <w:r>
        <w:rPr>
          <w:rFonts w:ascii="仿宋_GB2312" w:eastAsia="仿宋_GB2312" w:hAnsi="仿宋_GB2312" w:cs="仿宋_GB2312" w:hint="eastAsia"/>
          <w:sz w:val="32"/>
          <w:szCs w:val="32"/>
        </w:rPr>
        <w:t>进行现场汇报，允许使用</w:t>
      </w:r>
      <w:r>
        <w:rPr>
          <w:rFonts w:ascii="仿宋_GB2312" w:eastAsia="仿宋_GB2312" w:hAnsi="仿宋_GB2312" w:cs="仿宋_GB2312"/>
          <w:sz w:val="32"/>
          <w:szCs w:val="32"/>
        </w:rPr>
        <w:t>Excel</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Word</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PowerPoint</w:t>
      </w:r>
      <w:r>
        <w:rPr>
          <w:rFonts w:ascii="仿宋_GB2312" w:eastAsia="仿宋_GB2312" w:hAnsi="仿宋_GB2312" w:cs="仿宋_GB2312" w:hint="eastAsia"/>
          <w:sz w:val="32"/>
          <w:szCs w:val="32"/>
        </w:rPr>
        <w:t>软件进行辅助操作。营销活动选题至少开赛前</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周选定并公开，样题如下。</w:t>
      </w:r>
    </w:p>
    <w:p w:rsidR="00F715EC" w:rsidRDefault="00F715EC">
      <w:pPr>
        <w:pStyle w:val="NormalIndent"/>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选题</w:t>
      </w:r>
      <w:r>
        <w:rPr>
          <w:rFonts w:ascii="仿宋_GB2312" w:eastAsia="仿宋_GB2312" w:hAnsi="仿宋_GB2312" w:cs="仿宋_GB2312"/>
          <w:b/>
          <w:sz w:val="32"/>
          <w:szCs w:val="32"/>
        </w:rPr>
        <w:t>1</w:t>
      </w:r>
      <w:r>
        <w:rPr>
          <w:rFonts w:ascii="仿宋_GB2312" w:eastAsia="仿宋_GB2312" w:hAnsi="仿宋_GB2312" w:cs="仿宋_GB2312" w:hint="eastAsia"/>
          <w:b/>
          <w:sz w:val="32"/>
          <w:szCs w:val="32"/>
        </w:rPr>
        <w:t>：市场调研实战</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．企业背景介绍</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山东文正衣品股份有限公司（股票名称：文正股份；股票代码：</w:t>
      </w:r>
      <w:r>
        <w:rPr>
          <w:rFonts w:ascii="仿宋_GB2312" w:eastAsia="仿宋_GB2312" w:hAnsi="仿宋_GB2312" w:cs="仿宋_GB2312"/>
          <w:sz w:val="32"/>
          <w:szCs w:val="32"/>
        </w:rPr>
        <w:t>831556</w:t>
      </w:r>
      <w:r>
        <w:rPr>
          <w:rFonts w:ascii="仿宋_GB2312" w:eastAsia="仿宋_GB2312" w:hAnsi="仿宋_GB2312" w:cs="仿宋_GB2312" w:hint="eastAsia"/>
          <w:sz w:val="32"/>
          <w:szCs w:val="32"/>
        </w:rPr>
        <w:t>）是一家“新三板”挂牌公司，座落于山东省日照市莒县经济开发区。公司拥有两万平米的现代化标准厂房，千余台先进的电脑缝制设备，二十多家分厂，近千名员工，年生产能力达五百万（件）套，出口额一直领先日照市服装行业。主要产品有精品时装、休闲装、制服工装、校服、医护服装等十几个系列。</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2014</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文正股份”成功登陆“新三板”市场，成为莒县第一家、日照市第三家在“新三板”挂牌上市的企业。上市后，文正衣品迅速进入资本市场，拓宽了融资渠道，完善了公司资本构成，为实现公司更快更好的发展奠定了更坚实的基础。公司以此为契机，走上了机制创新、产品创新的快车道，力争在三年内放大产业格局，实现商业模式的再次升级与转变。</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目前文正衣品计划开拓大学生校园市场，主要考虑了三种服装类别：商务正装、牛仔类休闲装和其他类休闲装。</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．请在赛前</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个月内，设计市场调研方案，确定文正衣品校园市场主营服装类别，并了解该服装类别下的消费者需求偏好等，为该企业开拓校园市场提供决策依据。</w:t>
      </w:r>
    </w:p>
    <w:p w:rsidR="00F715EC" w:rsidRDefault="00F715EC">
      <w:pPr>
        <w:pStyle w:val="NormalIndent"/>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．请在竞赛当日</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小时内，借助</w:t>
      </w:r>
      <w:r>
        <w:rPr>
          <w:rFonts w:ascii="仿宋_GB2312" w:eastAsia="仿宋_GB2312" w:hAnsi="仿宋_GB2312" w:cs="仿宋_GB2312"/>
          <w:color w:val="000000"/>
          <w:sz w:val="32"/>
          <w:szCs w:val="32"/>
        </w:rPr>
        <w:t>PowerPoint</w:t>
      </w:r>
      <w:r>
        <w:rPr>
          <w:rFonts w:ascii="仿宋_GB2312" w:eastAsia="仿宋_GB2312" w:hAnsi="仿宋_GB2312" w:cs="仿宋_GB2312" w:hint="eastAsia"/>
          <w:color w:val="000000"/>
          <w:sz w:val="32"/>
          <w:szCs w:val="32"/>
        </w:rPr>
        <w:t>完成调研方案制作。</w:t>
      </w:r>
    </w:p>
    <w:p w:rsidR="00F715EC" w:rsidRDefault="00F715EC">
      <w:pPr>
        <w:pStyle w:val="NormalIndent"/>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要求：</w:t>
      </w:r>
    </w:p>
    <w:p w:rsidR="00F715EC" w:rsidRDefault="00F715EC">
      <w:pPr>
        <w:pStyle w:val="NormalIndent"/>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）市场调研方案</w:t>
      </w:r>
      <w:r>
        <w:rPr>
          <w:rFonts w:ascii="仿宋_GB2312" w:eastAsia="仿宋_GB2312" w:hAnsi="仿宋_GB2312" w:cs="仿宋_GB2312"/>
          <w:color w:val="000000"/>
          <w:sz w:val="32"/>
          <w:szCs w:val="32"/>
        </w:rPr>
        <w:t>PPT</w:t>
      </w:r>
      <w:r>
        <w:rPr>
          <w:rFonts w:ascii="仿宋_GB2312" w:eastAsia="仿宋_GB2312" w:hAnsi="仿宋_GB2312" w:cs="仿宋_GB2312" w:hint="eastAsia"/>
          <w:color w:val="000000"/>
          <w:sz w:val="32"/>
          <w:szCs w:val="32"/>
        </w:rPr>
        <w:t>制作</w:t>
      </w:r>
    </w:p>
    <w:p w:rsidR="00F715EC" w:rsidRDefault="00F715EC">
      <w:pPr>
        <w:pStyle w:val="NormalIndent"/>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包含但不限于以下几个方面：调研范围及目的、调研方法、与调研方法对应的物料准备、样本数量、调研安排、突发事件处理等。</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．按抽签顺序依次进入汇报场地进行展示汇报（不超过</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分钟）。</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要求：</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）普通话标准，口齿清晰，表达流利，声音洪亮，节奏适中；无明显的停顿、磕巴；在规定时间内团队</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人以上共同完成展示陈述任务；</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）团队衣着整洁，在汇报过程中表情自然大方，注意基本的礼仪，能够尊重评委，文明用语。</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）在汇报过程中不得出现任何学校名称、选手姓名等可暴露参赛选手身份的相关信息。</w:t>
      </w:r>
    </w:p>
    <w:p w:rsidR="00F715EC" w:rsidRDefault="00F715EC">
      <w:pPr>
        <w:pStyle w:val="NormalIndent"/>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选题</w:t>
      </w:r>
      <w:r>
        <w:rPr>
          <w:rFonts w:ascii="仿宋_GB2312" w:eastAsia="仿宋_GB2312" w:hAnsi="仿宋_GB2312" w:cs="仿宋_GB2312"/>
          <w:b/>
          <w:sz w:val="32"/>
          <w:szCs w:val="32"/>
        </w:rPr>
        <w:t>2</w:t>
      </w:r>
      <w:r>
        <w:rPr>
          <w:rFonts w:ascii="仿宋_GB2312" w:eastAsia="仿宋_GB2312" w:hAnsi="仿宋_GB2312" w:cs="仿宋_GB2312" w:hint="eastAsia"/>
          <w:b/>
          <w:sz w:val="32"/>
          <w:szCs w:val="32"/>
        </w:rPr>
        <w:t>：产品促销实战</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．可选商品种类</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可口可乐系列产品；统一方便面系列产品；宝洁洗发水系列产品；康师傅饼干系列产品；金锣火腿肠类系列产品。</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．请在赛前</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个月内，从规定的商品种类中任选一种或几种商品的组合，针对本校市场进行促销活动策划。</w:t>
      </w:r>
    </w:p>
    <w:p w:rsidR="00F715EC" w:rsidRDefault="00F715EC">
      <w:pPr>
        <w:pStyle w:val="NormalIndent"/>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．请在竞赛当日</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小时内，借助</w:t>
      </w:r>
      <w:r>
        <w:rPr>
          <w:rFonts w:ascii="仿宋_GB2312" w:eastAsia="仿宋_GB2312" w:hAnsi="仿宋_GB2312" w:cs="仿宋_GB2312"/>
          <w:color w:val="000000"/>
          <w:sz w:val="32"/>
          <w:szCs w:val="32"/>
        </w:rPr>
        <w:t>PowerPoint</w:t>
      </w:r>
      <w:r>
        <w:rPr>
          <w:rFonts w:ascii="仿宋_GB2312" w:eastAsia="仿宋_GB2312" w:hAnsi="仿宋_GB2312" w:cs="仿宋_GB2312" w:hint="eastAsia"/>
          <w:color w:val="000000"/>
          <w:sz w:val="32"/>
          <w:szCs w:val="32"/>
        </w:rPr>
        <w:t>完成促销活动策划方案制作。</w:t>
      </w:r>
    </w:p>
    <w:p w:rsidR="00F715EC" w:rsidRDefault="00F715EC">
      <w:pPr>
        <w:pStyle w:val="NormalIndent"/>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要求：</w:t>
      </w:r>
    </w:p>
    <w:p w:rsidR="00F715EC" w:rsidRDefault="00F715EC">
      <w:pPr>
        <w:pStyle w:val="NormalIndent"/>
        <w:numPr>
          <w:ilvl w:val="0"/>
          <w:numId w:val="1"/>
        </w:num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产品促销活动策划方案</w:t>
      </w:r>
      <w:r>
        <w:rPr>
          <w:rFonts w:ascii="仿宋_GB2312" w:eastAsia="仿宋_GB2312" w:hAnsi="仿宋_GB2312" w:cs="仿宋_GB2312"/>
          <w:color w:val="000000"/>
          <w:sz w:val="32"/>
          <w:szCs w:val="32"/>
        </w:rPr>
        <w:t>PPT</w:t>
      </w:r>
      <w:r>
        <w:rPr>
          <w:rFonts w:ascii="仿宋_GB2312" w:eastAsia="仿宋_GB2312" w:hAnsi="仿宋_GB2312" w:cs="仿宋_GB2312" w:hint="eastAsia"/>
          <w:color w:val="000000"/>
          <w:sz w:val="32"/>
          <w:szCs w:val="32"/>
        </w:rPr>
        <w:t>制作</w:t>
      </w:r>
    </w:p>
    <w:p w:rsidR="00F715EC" w:rsidRDefault="00F715EC">
      <w:pPr>
        <w:pStyle w:val="NormalIndent"/>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主要包含但不限于以下几个方面：市场分析、活动目的、目标人群、活动时间、活动主题、活动方式、活动的推广方式、人员安排与组织、费用预算等。</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．按抽签顺序依次进入汇报场地进行展示汇报（不超过</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分钟）。</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要求：</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）普通话标准，口齿清晰，表达流利，声音洪亮，节奏适中；无明显的停顿、磕巴；在规定时间内团队</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人以上共同完成展示陈述任务；</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）团队衣着整洁，在汇报过程中表情自然大方，注意基本的礼仪，能够尊重评委，文明用语。</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）在汇报过程中不得出现任何学校名称、选手姓名等可暴露参赛选手身份的相关信息。</w:t>
      </w:r>
    </w:p>
    <w:p w:rsidR="00F715EC" w:rsidRDefault="00F715EC">
      <w:pPr>
        <w:pStyle w:val="NormalIndent"/>
        <w:spacing w:line="600" w:lineRule="exact"/>
        <w:ind w:firstLineChars="200" w:firstLine="643"/>
        <w:rPr>
          <w:rFonts w:ascii="仿宋_GB2312" w:eastAsia="仿宋_GB2312" w:hAnsi="仿宋_GB2312" w:cs="仿宋_GB2312"/>
          <w:sz w:val="32"/>
          <w:szCs w:val="32"/>
        </w:rPr>
      </w:pPr>
      <w:r>
        <w:rPr>
          <w:rFonts w:ascii="仿宋_GB2312" w:eastAsia="仿宋_GB2312" w:hAnsi="Calibri" w:hint="eastAsia"/>
          <w:b/>
          <w:sz w:val="32"/>
          <w:szCs w:val="32"/>
        </w:rPr>
        <w:t>选题</w:t>
      </w:r>
      <w:r>
        <w:rPr>
          <w:rFonts w:ascii="仿宋_GB2312" w:eastAsia="仿宋_GB2312" w:hAnsi="Calibri"/>
          <w:b/>
          <w:sz w:val="32"/>
          <w:szCs w:val="32"/>
        </w:rPr>
        <w:t>3</w:t>
      </w:r>
      <w:r>
        <w:rPr>
          <w:rFonts w:ascii="仿宋_GB2312" w:eastAsia="仿宋_GB2312" w:hAnsi="Calibri" w:hint="eastAsia"/>
          <w:b/>
          <w:sz w:val="32"/>
          <w:szCs w:val="32"/>
        </w:rPr>
        <w:t>：</w:t>
      </w:r>
      <w:r>
        <w:rPr>
          <w:rFonts w:ascii="仿宋_GB2312" w:eastAsia="仿宋_GB2312" w:hAnsi="仿宋_GB2312" w:cs="仿宋_GB2312" w:hint="eastAsia"/>
          <w:b/>
          <w:sz w:val="32"/>
          <w:szCs w:val="32"/>
        </w:rPr>
        <w:t>全渠道推广实战</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．企业及产品资料</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企业介绍：山东三星集团创建于</w:t>
      </w:r>
      <w:r>
        <w:rPr>
          <w:rFonts w:ascii="仿宋_GB2312" w:eastAsia="仿宋_GB2312" w:hAnsi="仿宋_GB2312" w:cs="仿宋_GB2312"/>
          <w:sz w:val="32"/>
          <w:szCs w:val="32"/>
        </w:rPr>
        <w:t xml:space="preserve"> 1989 </w:t>
      </w:r>
      <w:r>
        <w:rPr>
          <w:rFonts w:ascii="仿宋_GB2312" w:eastAsia="仿宋_GB2312" w:hAnsi="仿宋_GB2312" w:cs="仿宋_GB2312" w:hint="eastAsia"/>
          <w:sz w:val="32"/>
          <w:szCs w:val="32"/>
        </w:rPr>
        <w:t>年，现在年产值达</w:t>
      </w:r>
      <w:r>
        <w:rPr>
          <w:rFonts w:ascii="仿宋_GB2312" w:eastAsia="仿宋_GB2312" w:hAnsi="仿宋_GB2312" w:cs="仿宋_GB2312"/>
          <w:sz w:val="32"/>
          <w:szCs w:val="32"/>
        </w:rPr>
        <w:t xml:space="preserve"> 160 </w:t>
      </w:r>
      <w:r>
        <w:rPr>
          <w:rFonts w:ascii="仿宋_GB2312" w:eastAsia="仿宋_GB2312" w:hAnsi="仿宋_GB2312" w:cs="仿宋_GB2312" w:hint="eastAsia"/>
          <w:sz w:val="32"/>
          <w:szCs w:val="32"/>
        </w:rPr>
        <w:t>多亿元，是一家集高端装备机械制造、油脂加工精炼、新型材料研发与生产、热电联产、国际贸易等于一体的大型民营企业集团。全资子公司山东三星玉米产业科技有限公司始建于</w:t>
      </w:r>
      <w:r>
        <w:rPr>
          <w:rFonts w:ascii="仿宋_GB2312" w:eastAsia="仿宋_GB2312" w:hAnsi="仿宋_GB2312" w:cs="仿宋_GB2312"/>
          <w:sz w:val="32"/>
          <w:szCs w:val="32"/>
        </w:rPr>
        <w:t xml:space="preserve"> 1997 </w:t>
      </w:r>
      <w:r>
        <w:rPr>
          <w:rFonts w:ascii="仿宋_GB2312" w:eastAsia="仿宋_GB2312" w:hAnsi="仿宋_GB2312" w:cs="仿宋_GB2312" w:hint="eastAsia"/>
          <w:sz w:val="32"/>
          <w:szCs w:val="32"/>
        </w:rPr>
        <w:t>年，旗下品牌长寿花是中国玉米油行业领导品牌，是国内最早且规模最大的专业研发生产玉米油的企业。</w:t>
      </w:r>
      <w:r>
        <w:rPr>
          <w:rFonts w:ascii="仿宋_GB2312" w:eastAsia="仿宋_GB2312" w:hAnsi="仿宋_GB2312" w:cs="仿宋_GB2312"/>
          <w:sz w:val="32"/>
          <w:szCs w:val="32"/>
        </w:rPr>
        <w:t xml:space="preserve">2009 </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 xml:space="preserve"> 12 </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 xml:space="preserve"> 18 </w:t>
      </w:r>
      <w:r>
        <w:rPr>
          <w:rFonts w:ascii="仿宋_GB2312" w:eastAsia="仿宋_GB2312" w:hAnsi="仿宋_GB2312" w:cs="仿宋_GB2312" w:hint="eastAsia"/>
          <w:sz w:val="32"/>
          <w:szCs w:val="32"/>
        </w:rPr>
        <w:t>日，山东三星玉米产业科技有限公司的在香港联交所主板挂牌上市（股票名称长寿花食品，代码：</w:t>
      </w:r>
      <w:r>
        <w:rPr>
          <w:rFonts w:ascii="仿宋_GB2312" w:eastAsia="仿宋_GB2312" w:hAnsi="仿宋_GB2312" w:cs="仿宋_GB2312"/>
          <w:sz w:val="32"/>
          <w:szCs w:val="32"/>
        </w:rPr>
        <w:t>01006.HK</w:t>
      </w:r>
      <w:r>
        <w:rPr>
          <w:rFonts w:ascii="仿宋_GB2312" w:eastAsia="仿宋_GB2312" w:hAnsi="仿宋_GB2312" w:cs="仿宋_GB2312" w:hint="eastAsia"/>
          <w:sz w:val="32"/>
          <w:szCs w:val="32"/>
        </w:rPr>
        <w:t>），是中国玉米油行业第一个上市公司。</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长寿花立足国内玉米油行业，稳抓稳打，在此基础上发展多元化产业，积极拓展产业线，秉承“绿色健康厨房”的理念，现推出长寿花系列调味品和长寿花系列粮食产品，致力于为家庭带来更好的健康美味，缔造高端健康绿色厨房新未来。</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产品介绍：</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）长寿花稻米油产品特点及优势</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①非转基因原料，精选自我国东北等地稻米黄金主产区。</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②采用国际领先物理精炼工艺，最大限度保留稻米中的原生营养物质。</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③富含稻米油独有的天然谷维素，丰富植物甾醇和维生素</w:t>
      </w:r>
      <w:r>
        <w:rPr>
          <w:rFonts w:ascii="仿宋_GB2312" w:eastAsia="仿宋_GB2312" w:hAnsi="仿宋_GB2312" w:cs="仿宋_GB2312"/>
          <w:sz w:val="32"/>
          <w:szCs w:val="32"/>
        </w:rPr>
        <w:t xml:space="preserve"> E </w:t>
      </w:r>
      <w:r>
        <w:rPr>
          <w:rFonts w:ascii="仿宋_GB2312" w:eastAsia="仿宋_GB2312" w:hAnsi="仿宋_GB2312" w:cs="仿宋_GB2312" w:hint="eastAsia"/>
          <w:sz w:val="32"/>
          <w:szCs w:val="32"/>
        </w:rPr>
        <w:t>等多种营养成份，谷维素</w:t>
      </w:r>
      <w:r>
        <w:rPr>
          <w:rFonts w:ascii="仿宋_GB2312" w:eastAsia="仿宋_GB2312" w:hAnsi="仿宋_GB2312" w:cs="仿宋_GB2312"/>
          <w:sz w:val="32"/>
          <w:szCs w:val="32"/>
        </w:rPr>
        <w:t xml:space="preserve"> 13800PPM</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1380 </w:t>
      </w:r>
      <w:r>
        <w:rPr>
          <w:rFonts w:ascii="仿宋_GB2312" w:eastAsia="仿宋_GB2312" w:hAnsi="仿宋_GB2312" w:cs="仿宋_GB2312" w:hint="eastAsia"/>
          <w:sz w:val="32"/>
          <w:szCs w:val="32"/>
        </w:rPr>
        <w:t>毫克</w:t>
      </w:r>
      <w:r>
        <w:rPr>
          <w:rFonts w:ascii="仿宋_GB2312" w:eastAsia="仿宋_GB2312" w:hAnsi="仿宋_GB2312" w:cs="仿宋_GB2312"/>
          <w:sz w:val="32"/>
          <w:szCs w:val="32"/>
        </w:rPr>
        <w:t>/</w:t>
      </w:r>
      <w:smartTag w:uri="urn:schemas-microsoft-com:office:smarttags" w:element="chmetcnv">
        <w:smartTagPr>
          <w:attr w:name="TCSC" w:val="0"/>
          <w:attr w:name="NumberType" w:val="1"/>
          <w:attr w:name="Negative" w:val="False"/>
          <w:attr w:name="HasSpace" w:val="True"/>
          <w:attr w:name="SourceValue" w:val="100"/>
          <w:attr w:name="UnitName" w:val="克"/>
        </w:smartTagPr>
        <w:r>
          <w:rPr>
            <w:rFonts w:ascii="仿宋_GB2312" w:eastAsia="仿宋_GB2312" w:hAnsi="仿宋_GB2312" w:cs="仿宋_GB2312"/>
            <w:sz w:val="32"/>
            <w:szCs w:val="32"/>
          </w:rPr>
          <w:t xml:space="preserve">100 </w:t>
        </w:r>
        <w:r>
          <w:rPr>
            <w:rFonts w:ascii="仿宋_GB2312" w:eastAsia="仿宋_GB2312" w:hAnsi="仿宋_GB2312" w:cs="仿宋_GB2312" w:hint="eastAsia"/>
            <w:sz w:val="32"/>
            <w:szCs w:val="32"/>
          </w:rPr>
          <w:t>克</w:t>
        </w:r>
      </w:smartTag>
      <w:r>
        <w:rPr>
          <w:rFonts w:ascii="仿宋_GB2312" w:eastAsia="仿宋_GB2312" w:hAnsi="仿宋_GB2312" w:cs="仿宋_GB2312" w:hint="eastAsia"/>
          <w:sz w:val="32"/>
          <w:szCs w:val="32"/>
        </w:rPr>
        <w:t>），植物甾醇</w:t>
      </w:r>
      <w:r>
        <w:rPr>
          <w:rFonts w:ascii="仿宋_GB2312" w:eastAsia="仿宋_GB2312" w:hAnsi="仿宋_GB2312" w:cs="仿宋_GB2312"/>
          <w:sz w:val="32"/>
          <w:szCs w:val="32"/>
        </w:rPr>
        <w:t>12000PPM</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1200 </w:t>
      </w:r>
      <w:r>
        <w:rPr>
          <w:rFonts w:ascii="仿宋_GB2312" w:eastAsia="仿宋_GB2312" w:hAnsi="仿宋_GB2312" w:cs="仿宋_GB2312" w:hint="eastAsia"/>
          <w:sz w:val="32"/>
          <w:szCs w:val="32"/>
        </w:rPr>
        <w:t>毫克</w:t>
      </w:r>
      <w:r>
        <w:rPr>
          <w:rFonts w:ascii="仿宋_GB2312" w:eastAsia="仿宋_GB2312" w:hAnsi="仿宋_GB2312" w:cs="仿宋_GB2312"/>
          <w:sz w:val="32"/>
          <w:szCs w:val="32"/>
        </w:rPr>
        <w:t>/</w:t>
      </w:r>
      <w:smartTag w:uri="urn:schemas-microsoft-com:office:smarttags" w:element="chmetcnv">
        <w:smartTagPr>
          <w:attr w:name="TCSC" w:val="0"/>
          <w:attr w:name="NumberType" w:val="1"/>
          <w:attr w:name="Negative" w:val="False"/>
          <w:attr w:name="HasSpace" w:val="True"/>
          <w:attr w:name="SourceValue" w:val="100"/>
          <w:attr w:name="UnitName" w:val="克"/>
        </w:smartTagPr>
        <w:r>
          <w:rPr>
            <w:rFonts w:ascii="仿宋_GB2312" w:eastAsia="仿宋_GB2312" w:hAnsi="仿宋_GB2312" w:cs="仿宋_GB2312"/>
            <w:sz w:val="32"/>
            <w:szCs w:val="32"/>
          </w:rPr>
          <w:t xml:space="preserve">100 </w:t>
        </w:r>
        <w:r>
          <w:rPr>
            <w:rFonts w:ascii="仿宋_GB2312" w:eastAsia="仿宋_GB2312" w:hAnsi="仿宋_GB2312" w:cs="仿宋_GB2312" w:hint="eastAsia"/>
            <w:sz w:val="32"/>
            <w:szCs w:val="32"/>
          </w:rPr>
          <w:t>克</w:t>
        </w:r>
      </w:smartTag>
      <w:r>
        <w:rPr>
          <w:rFonts w:ascii="仿宋_GB2312" w:eastAsia="仿宋_GB2312" w:hAnsi="仿宋_GB2312" w:cs="仿宋_GB2312" w:hint="eastAsia"/>
          <w:sz w:val="32"/>
          <w:szCs w:val="32"/>
        </w:rPr>
        <w:t>）</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④烟点高，高温烹饪油烟少，油质稳定，稻米油加热过程中不易产生大量聚合物，适合中式烹饪，厨房更干净，妈妈更健康。</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⑤黏性低，菜肴挂油率低，可更好地减少过多的脂肪摄入，天然抗氧化成分在保持食材原汁原味的同时，使菜肴保鲜度更好。</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⑥完美色泽，金黄清亮，醇香回味，清香不油腻，适合各种人群食用。</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）产品规格及价格</w:t>
      </w:r>
    </w:p>
    <w:p w:rsidR="00F715EC" w:rsidRDefault="00F715EC">
      <w:pPr>
        <w:pStyle w:val="NormalIndent"/>
        <w:spacing w:line="600" w:lineRule="exact"/>
        <w:ind w:firstLineChars="200" w:firstLine="640"/>
        <w:rPr>
          <w:rFonts w:ascii="仿宋_GB2312" w:eastAsia="仿宋_GB2312" w:hAnsi="仿宋_GB2312" w:cs="仿宋_GB2312"/>
          <w:sz w:val="32"/>
          <w:szCs w:val="32"/>
        </w:rPr>
      </w:pPr>
      <w:smartTag w:uri="urn:schemas-microsoft-com:office:smarttags" w:element="chmetcnv">
        <w:smartTagPr>
          <w:attr w:name="TCSC" w:val="0"/>
          <w:attr w:name="NumberType" w:val="1"/>
          <w:attr w:name="Negative" w:val="False"/>
          <w:attr w:name="HasSpace" w:val="False"/>
          <w:attr w:name="SourceValue" w:val="1.8"/>
          <w:attr w:name="UnitName" w:val="l"/>
        </w:smartTagPr>
        <w:r>
          <w:rPr>
            <w:rFonts w:ascii="仿宋_GB2312" w:eastAsia="仿宋_GB2312" w:hAnsi="仿宋_GB2312" w:cs="仿宋_GB2312"/>
            <w:sz w:val="32"/>
            <w:szCs w:val="32"/>
          </w:rPr>
          <w:t>1.8L</w:t>
        </w:r>
      </w:smartTag>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49.9 </w:t>
      </w:r>
      <w:r>
        <w:rPr>
          <w:rFonts w:ascii="仿宋_GB2312" w:eastAsia="仿宋_GB2312" w:hAnsi="仿宋_GB2312" w:cs="仿宋_GB2312" w:hint="eastAsia"/>
          <w:sz w:val="32"/>
          <w:szCs w:val="32"/>
        </w:rPr>
        <w:t>元</w:t>
      </w:r>
      <w:r>
        <w:rPr>
          <w:rFonts w:ascii="仿宋_GB2312" w:eastAsia="仿宋_GB2312" w:hAnsi="仿宋_GB2312" w:cs="仿宋_GB2312"/>
          <w:sz w:val="32"/>
          <w:szCs w:val="32"/>
        </w:rPr>
        <w:t xml:space="preserve"> </w:t>
      </w:r>
      <w:smartTag w:uri="urn:schemas-microsoft-com:office:smarttags" w:element="chmetcnv">
        <w:smartTagPr>
          <w:attr w:name="TCSC" w:val="0"/>
          <w:attr w:name="NumberType" w:val="1"/>
          <w:attr w:name="Negative" w:val="False"/>
          <w:attr w:name="HasSpace" w:val="False"/>
          <w:attr w:name="SourceValue" w:val="5"/>
          <w:attr w:name="UnitName" w:val="l"/>
        </w:smartTagPr>
        <w:r>
          <w:rPr>
            <w:rFonts w:ascii="仿宋_GB2312" w:eastAsia="仿宋_GB2312" w:hAnsi="仿宋_GB2312" w:cs="仿宋_GB2312"/>
            <w:sz w:val="32"/>
            <w:szCs w:val="32"/>
          </w:rPr>
          <w:t>5L</w:t>
        </w:r>
      </w:smartTag>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138 </w:t>
      </w:r>
      <w:r>
        <w:rPr>
          <w:rFonts w:ascii="仿宋_GB2312" w:eastAsia="仿宋_GB2312" w:hAnsi="仿宋_GB2312" w:cs="仿宋_GB2312" w:hint="eastAsia"/>
          <w:sz w:val="32"/>
          <w:szCs w:val="32"/>
        </w:rPr>
        <w:t>元</w:t>
      </w:r>
      <w:r>
        <w:rPr>
          <w:rFonts w:ascii="仿宋_GB2312" w:eastAsia="仿宋_GB2312" w:hAnsi="仿宋_GB2312" w:cs="仿宋_GB2312"/>
          <w:sz w:val="32"/>
          <w:szCs w:val="32"/>
        </w:rPr>
        <w:t xml:space="preserve"> </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．请以提高品牌知名度为目的，为其制定符合企业特点的全渠道（线上</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线下）推广活动策划方案。</w:t>
      </w:r>
    </w:p>
    <w:p w:rsidR="00F715EC" w:rsidRDefault="00F715EC">
      <w:pPr>
        <w:pStyle w:val="NormalIndent"/>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．请在竞赛当日</w:t>
      </w:r>
      <w:r>
        <w:rPr>
          <w:rFonts w:ascii="仿宋_GB2312" w:eastAsia="仿宋_GB2312" w:hAnsi="仿宋_GB2312" w:cs="仿宋_GB2312"/>
          <w:color w:val="000000"/>
          <w:sz w:val="32"/>
          <w:szCs w:val="32"/>
        </w:rPr>
        <w:t xml:space="preserve"> 1 </w:t>
      </w:r>
      <w:r>
        <w:rPr>
          <w:rFonts w:ascii="仿宋_GB2312" w:eastAsia="仿宋_GB2312" w:hAnsi="仿宋_GB2312" w:cs="仿宋_GB2312" w:hint="eastAsia"/>
          <w:color w:val="000000"/>
          <w:sz w:val="32"/>
          <w:szCs w:val="32"/>
        </w:rPr>
        <w:t>小时内，借助</w:t>
      </w:r>
      <w:r>
        <w:rPr>
          <w:rFonts w:ascii="仿宋_GB2312" w:eastAsia="仿宋_GB2312" w:hAnsi="仿宋_GB2312" w:cs="仿宋_GB2312"/>
          <w:color w:val="000000"/>
          <w:sz w:val="32"/>
          <w:szCs w:val="32"/>
        </w:rPr>
        <w:t xml:space="preserve"> PowerPoint </w:t>
      </w:r>
      <w:r>
        <w:rPr>
          <w:rFonts w:ascii="仿宋_GB2312" w:eastAsia="仿宋_GB2312" w:hAnsi="仿宋_GB2312" w:cs="仿宋_GB2312" w:hint="eastAsia"/>
          <w:color w:val="000000"/>
          <w:sz w:val="32"/>
          <w:szCs w:val="32"/>
        </w:rPr>
        <w:t>完成推广策划方案</w:t>
      </w:r>
      <w:r>
        <w:rPr>
          <w:rFonts w:ascii="仿宋_GB2312" w:eastAsia="仿宋_GB2312" w:hAnsi="仿宋_GB2312" w:cs="仿宋_GB2312"/>
          <w:color w:val="000000"/>
          <w:sz w:val="32"/>
          <w:szCs w:val="32"/>
        </w:rPr>
        <w:t>PPT</w:t>
      </w:r>
      <w:r>
        <w:rPr>
          <w:rFonts w:ascii="仿宋_GB2312" w:eastAsia="仿宋_GB2312" w:hAnsi="仿宋_GB2312" w:cs="仿宋_GB2312" w:hint="eastAsia"/>
          <w:color w:val="000000"/>
          <w:sz w:val="32"/>
          <w:szCs w:val="32"/>
        </w:rPr>
        <w:t>制作。</w:t>
      </w:r>
    </w:p>
    <w:p w:rsidR="00F715EC" w:rsidRDefault="00F715EC">
      <w:pPr>
        <w:pStyle w:val="NormalIndent"/>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要求：</w:t>
      </w:r>
    </w:p>
    <w:p w:rsidR="00F715EC" w:rsidRDefault="00F715EC">
      <w:pPr>
        <w:pStyle w:val="NormalIndent"/>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）全渠道推广方案</w:t>
      </w:r>
      <w:r>
        <w:rPr>
          <w:rFonts w:ascii="仿宋_GB2312" w:eastAsia="仿宋_GB2312" w:hAnsi="仿宋_GB2312" w:cs="仿宋_GB2312"/>
          <w:color w:val="000000"/>
          <w:sz w:val="32"/>
          <w:szCs w:val="32"/>
        </w:rPr>
        <w:t>PPT</w:t>
      </w:r>
      <w:r>
        <w:rPr>
          <w:rFonts w:ascii="仿宋_GB2312" w:eastAsia="仿宋_GB2312" w:hAnsi="仿宋_GB2312" w:cs="仿宋_GB2312" w:hint="eastAsia"/>
          <w:color w:val="000000"/>
          <w:sz w:val="32"/>
          <w:szCs w:val="32"/>
        </w:rPr>
        <w:t>制作</w:t>
      </w:r>
    </w:p>
    <w:p w:rsidR="00F715EC" w:rsidRDefault="00F715EC">
      <w:pPr>
        <w:pStyle w:val="NormalIndent"/>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主要针对全渠道推广策划方案进行撰写，包含但不限于以下几个方面：主题、时间、目标、推广策略、预算、效果预测等。</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．按抽签顺序依次进入汇报场地进行展示汇报（不超过</w:t>
      </w:r>
      <w:r>
        <w:rPr>
          <w:rFonts w:ascii="仿宋_GB2312" w:eastAsia="仿宋_GB2312" w:hAnsi="仿宋_GB2312" w:cs="仿宋_GB2312"/>
          <w:sz w:val="32"/>
          <w:szCs w:val="32"/>
        </w:rPr>
        <w:t xml:space="preserve"> 5 </w:t>
      </w:r>
      <w:r>
        <w:rPr>
          <w:rFonts w:ascii="仿宋_GB2312" w:eastAsia="仿宋_GB2312" w:hAnsi="仿宋_GB2312" w:cs="仿宋_GB2312" w:hint="eastAsia"/>
          <w:sz w:val="32"/>
          <w:szCs w:val="32"/>
        </w:rPr>
        <w:t>分钟）。</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要求：</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）普通话标准，口齿清晰，表达流利，声音洪亮，节奏适中；无明显的停顿、磕巴；在规定时间内团队</w:t>
      </w:r>
      <w:r>
        <w:rPr>
          <w:rFonts w:ascii="仿宋_GB2312" w:eastAsia="仿宋_GB2312" w:hAnsi="仿宋_GB2312" w:cs="仿宋_GB2312"/>
          <w:sz w:val="32"/>
          <w:szCs w:val="32"/>
        </w:rPr>
        <w:t xml:space="preserve"> 2 </w:t>
      </w:r>
      <w:r>
        <w:rPr>
          <w:rFonts w:ascii="仿宋_GB2312" w:eastAsia="仿宋_GB2312" w:hAnsi="仿宋_GB2312" w:cs="仿宋_GB2312" w:hint="eastAsia"/>
          <w:sz w:val="32"/>
          <w:szCs w:val="32"/>
        </w:rPr>
        <w:t>人以上共同完成展示陈述任务。</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）团队衣着整洁，在汇报过程中表情自然大方，注意基本的礼仪，能够尊重评委，文明用语。</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）在汇报过程中不得出现任何学校名称、选手姓名等可暴露参赛选手身份的相关信息。</w:t>
      </w:r>
    </w:p>
    <w:p w:rsidR="00F715EC" w:rsidRDefault="00F715EC">
      <w:pPr>
        <w:widowControl w:val="0"/>
        <w:adjustRightInd/>
        <w:snapToGrid/>
        <w:spacing w:after="0" w:line="600" w:lineRule="exact"/>
        <w:ind w:firstLineChars="200" w:firstLine="640"/>
        <w:rPr>
          <w:rFonts w:ascii="楷体" w:eastAsia="楷体" w:hAnsi="楷体"/>
          <w:kern w:val="2"/>
          <w:sz w:val="32"/>
          <w:szCs w:val="32"/>
        </w:rPr>
      </w:pPr>
      <w:r>
        <w:rPr>
          <w:rFonts w:ascii="楷体" w:eastAsia="楷体" w:hAnsi="楷体" w:hint="eastAsia"/>
          <w:kern w:val="2"/>
          <w:sz w:val="32"/>
          <w:szCs w:val="32"/>
        </w:rPr>
        <w:t>（二）情境营销（</w:t>
      </w:r>
      <w:r>
        <w:rPr>
          <w:rFonts w:ascii="楷体" w:eastAsia="楷体" w:hAnsi="楷体"/>
          <w:kern w:val="2"/>
          <w:sz w:val="32"/>
          <w:szCs w:val="32"/>
        </w:rPr>
        <w:t>75</w:t>
      </w:r>
      <w:r>
        <w:rPr>
          <w:rFonts w:ascii="楷体" w:eastAsia="楷体" w:hAnsi="楷体" w:hint="eastAsia"/>
          <w:kern w:val="2"/>
          <w:sz w:val="32"/>
          <w:szCs w:val="32"/>
        </w:rPr>
        <w:t>分）</w:t>
      </w:r>
    </w:p>
    <w:p w:rsidR="00F715EC" w:rsidRDefault="00F715EC">
      <w:pPr>
        <w:pStyle w:val="NormalIndent"/>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1</w:t>
      </w:r>
      <w:r>
        <w:rPr>
          <w:rFonts w:ascii="仿宋_GB2312" w:eastAsia="仿宋_GB2312" w:hAnsi="仿宋_GB2312" w:cs="仿宋_GB2312" w:hint="eastAsia"/>
          <w:b/>
          <w:sz w:val="32"/>
          <w:szCs w:val="32"/>
        </w:rPr>
        <w:t>．赛题背景资料</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赛项提供了</w:t>
      </w:r>
      <w:r>
        <w:rPr>
          <w:rFonts w:ascii="仿宋_GB2312" w:eastAsia="仿宋_GB2312" w:hAnsi="仿宋_GB2312" w:cs="仿宋_GB2312"/>
          <w:sz w:val="32"/>
          <w:szCs w:val="32"/>
        </w:rPr>
        <w:t>P1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P2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P3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P4</w:t>
      </w:r>
      <w:r>
        <w:rPr>
          <w:rFonts w:ascii="仿宋_GB2312" w:eastAsia="仿宋_GB2312" w:hAnsi="仿宋_GB2312" w:cs="仿宋_GB2312" w:hint="eastAsia"/>
          <w:sz w:val="32"/>
          <w:szCs w:val="32"/>
        </w:rPr>
        <w:t>四类产品在五个市场未来三年的销售价格、销售量的预测资料</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。参赛团队组成企业营销的核心团队，负责的企业是一个生产制造型企业，拥有</w:t>
      </w:r>
      <w:r>
        <w:rPr>
          <w:rFonts w:ascii="仿宋_GB2312" w:eastAsia="仿宋_GB2312" w:hAnsi="仿宋_GB2312" w:cs="仿宋_GB2312"/>
          <w:sz w:val="32"/>
          <w:szCs w:val="32"/>
        </w:rPr>
        <w:t>1911</w:t>
      </w:r>
      <w:r>
        <w:rPr>
          <w:rFonts w:ascii="仿宋_GB2312" w:eastAsia="仿宋_GB2312" w:hAnsi="仿宋_GB2312" w:cs="仿宋_GB2312" w:hint="eastAsia"/>
          <w:sz w:val="32"/>
          <w:szCs w:val="32"/>
        </w:rPr>
        <w:t>万资产，以销售</w:t>
      </w:r>
      <w:r>
        <w:rPr>
          <w:rFonts w:ascii="仿宋_GB2312" w:eastAsia="仿宋_GB2312" w:hAnsi="仿宋_GB2312" w:cs="仿宋_GB2312"/>
          <w:sz w:val="32"/>
          <w:szCs w:val="32"/>
        </w:rPr>
        <w:t>P1</w:t>
      </w:r>
      <w:r>
        <w:rPr>
          <w:rFonts w:ascii="仿宋_GB2312" w:eastAsia="仿宋_GB2312" w:hAnsi="仿宋_GB2312" w:cs="仿宋_GB2312" w:hint="eastAsia"/>
          <w:sz w:val="32"/>
          <w:szCs w:val="32"/>
        </w:rPr>
        <w:t>产品为主营业务，资金充裕，银行信用良好，但是产品单一，只在本地市场销售，竞争越来越激烈，预计未来几年销售收入将继续下降。参赛团队通过目标市场分析与选择、营销策略组合和财务报表分析，使企业的效益最大化。</w:t>
      </w:r>
    </w:p>
    <w:p w:rsidR="00F715EC" w:rsidRDefault="00F715EC">
      <w:pPr>
        <w:pStyle w:val="NormalIndent"/>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2</w:t>
      </w:r>
      <w:r>
        <w:rPr>
          <w:rFonts w:ascii="仿宋_GB2312" w:eastAsia="仿宋_GB2312" w:hAnsi="仿宋_GB2312" w:cs="仿宋_GB2312" w:hint="eastAsia"/>
          <w:b/>
          <w:sz w:val="32"/>
          <w:szCs w:val="32"/>
        </w:rPr>
        <w:t>．目标市场分析与选择</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根据软件提供</w:t>
      </w:r>
      <w:r>
        <w:rPr>
          <w:rFonts w:ascii="仿宋_GB2312" w:eastAsia="仿宋_GB2312" w:hAnsi="仿宋_GB2312" w:cs="仿宋_GB2312"/>
          <w:sz w:val="32"/>
          <w:szCs w:val="32"/>
        </w:rPr>
        <w:t>P1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P2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P3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P4</w:t>
      </w:r>
      <w:r>
        <w:rPr>
          <w:rFonts w:ascii="仿宋_GB2312" w:eastAsia="仿宋_GB2312" w:hAnsi="仿宋_GB2312" w:cs="仿宋_GB2312" w:hint="eastAsia"/>
          <w:sz w:val="32"/>
          <w:szCs w:val="32"/>
        </w:rPr>
        <w:t>四类新产品在五个市场未来三年的需求预测图（图</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），获取详细的需求信息。选手通过市场预测图进行市场分析，决定是否购买调研报告（图</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），通过购买市场调研报告，了解直销客户、批发商、</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零售商（六类消费人群）的需求信息，确定目标市场，制定营销计划（表</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熟悉市场细分的概念和意义，掌握目标市场策略选择时要考虑的主要因素，即企业的资源和能力、产品的性质和生命周期、竞争对手的市场策略。</w:t>
      </w:r>
    </w:p>
    <w:p w:rsidR="00F715EC" w:rsidRDefault="00F715EC">
      <w:pPr>
        <w:rPr>
          <w:rFonts w:ascii="Times New Roman" w:eastAsia="仿宋_GB2312"/>
          <w:sz w:val="28"/>
          <w:szCs w:val="28"/>
        </w:rPr>
      </w:pPr>
      <w:r w:rsidRPr="00AC007C">
        <w:rPr>
          <w:rFonts w:eastAsia="仿宋_GB231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159pt">
            <v:imagedata r:id="rId5" o:title="" cropright="677f"/>
          </v:shape>
        </w:pict>
      </w:r>
    </w:p>
    <w:p w:rsidR="00F715EC" w:rsidRDefault="00F715EC" w:rsidP="002028F0">
      <w:pPr>
        <w:spacing w:afterLines="50"/>
        <w:jc w:val="center"/>
        <w:rPr>
          <w:rFonts w:eastAsia="仿宋_GB2312"/>
          <w:sz w:val="24"/>
          <w:szCs w:val="24"/>
        </w:rPr>
      </w:pPr>
      <w:r>
        <w:rPr>
          <w:rFonts w:eastAsia="仿宋_GB2312" w:hint="eastAsia"/>
          <w:sz w:val="24"/>
        </w:rPr>
        <w:t>图</w:t>
      </w:r>
      <w:r>
        <w:rPr>
          <w:rFonts w:eastAsia="仿宋_GB2312"/>
          <w:sz w:val="24"/>
        </w:rPr>
        <w:t xml:space="preserve">1 </w:t>
      </w:r>
      <w:r>
        <w:rPr>
          <w:rFonts w:eastAsia="仿宋_GB2312" w:hint="eastAsia"/>
          <w:sz w:val="24"/>
        </w:rPr>
        <w:t>价格预测图</w:t>
      </w:r>
    </w:p>
    <w:p w:rsidR="00F715EC" w:rsidRDefault="00F715EC">
      <w:pPr>
        <w:jc w:val="center"/>
        <w:rPr>
          <w:rFonts w:eastAsia="仿宋_GB2312"/>
          <w:sz w:val="28"/>
          <w:szCs w:val="28"/>
        </w:rPr>
      </w:pPr>
      <w:r w:rsidRPr="00AC007C">
        <w:rPr>
          <w:rFonts w:eastAsia="仿宋_GB2312"/>
          <w:sz w:val="28"/>
          <w:szCs w:val="28"/>
        </w:rPr>
        <w:pict>
          <v:shape id="_x0000_i1026" type="#_x0000_t75" style="width:405pt;height:126pt">
            <v:imagedata r:id="rId6" o:title=""/>
          </v:shape>
        </w:pict>
      </w:r>
    </w:p>
    <w:p w:rsidR="00F715EC" w:rsidRDefault="00F715EC" w:rsidP="002028F0">
      <w:pPr>
        <w:spacing w:afterLines="50"/>
        <w:jc w:val="center"/>
        <w:rPr>
          <w:rFonts w:eastAsia="仿宋_GB2312"/>
          <w:sz w:val="24"/>
          <w:szCs w:val="24"/>
        </w:rPr>
      </w:pPr>
      <w:r>
        <w:rPr>
          <w:rFonts w:eastAsia="仿宋_GB2312" w:hint="eastAsia"/>
          <w:sz w:val="24"/>
        </w:rPr>
        <w:t>图</w:t>
      </w:r>
      <w:r>
        <w:rPr>
          <w:rFonts w:eastAsia="仿宋_GB2312"/>
          <w:sz w:val="24"/>
        </w:rPr>
        <w:t xml:space="preserve">2 </w:t>
      </w:r>
      <w:r>
        <w:rPr>
          <w:rFonts w:eastAsia="仿宋_GB2312" w:hint="eastAsia"/>
          <w:sz w:val="24"/>
        </w:rPr>
        <w:t>市场需求图</w:t>
      </w:r>
    </w:p>
    <w:p w:rsidR="00F715EC" w:rsidRDefault="00F715EC">
      <w:pPr>
        <w:spacing w:line="560" w:lineRule="exact"/>
        <w:jc w:val="center"/>
        <w:rPr>
          <w:rFonts w:eastAsia="仿宋_GB2312"/>
          <w:sz w:val="24"/>
        </w:rPr>
      </w:pPr>
      <w:r>
        <w:rPr>
          <w:rFonts w:eastAsia="仿宋_GB2312" w:hint="eastAsia"/>
          <w:sz w:val="24"/>
        </w:rPr>
        <w:t>表</w:t>
      </w:r>
      <w:r>
        <w:rPr>
          <w:rFonts w:eastAsia="仿宋_GB2312"/>
          <w:sz w:val="24"/>
        </w:rPr>
        <w:t xml:space="preserve">3 </w:t>
      </w:r>
      <w:r>
        <w:rPr>
          <w:rFonts w:eastAsia="仿宋_GB2312" w:hint="eastAsia"/>
          <w:sz w:val="24"/>
        </w:rPr>
        <w:t>客户需求信息表</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6"/>
        <w:gridCol w:w="850"/>
        <w:gridCol w:w="850"/>
        <w:gridCol w:w="851"/>
        <w:gridCol w:w="1134"/>
        <w:gridCol w:w="1134"/>
        <w:gridCol w:w="1417"/>
        <w:gridCol w:w="1468"/>
      </w:tblGrid>
      <w:tr w:rsidR="00F715EC">
        <w:trPr>
          <w:trHeight w:val="454"/>
        </w:trPr>
        <w:tc>
          <w:tcPr>
            <w:tcW w:w="816" w:type="dxa"/>
            <w:vAlign w:val="center"/>
          </w:tcPr>
          <w:p w:rsidR="00F715EC" w:rsidRDefault="00F715EC">
            <w:pPr>
              <w:widowControl w:val="0"/>
              <w:jc w:val="center"/>
              <w:rPr>
                <w:rFonts w:ascii="Times New Roman" w:eastAsia="仿宋_GB2312" w:hAnsi="Times New Roman"/>
                <w:b/>
                <w:kern w:val="2"/>
                <w:sz w:val="24"/>
                <w:szCs w:val="24"/>
              </w:rPr>
            </w:pPr>
            <w:r>
              <w:rPr>
                <w:rFonts w:eastAsia="仿宋_GB2312" w:hint="eastAsia"/>
                <w:b/>
                <w:sz w:val="24"/>
              </w:rPr>
              <w:t>季度</w:t>
            </w:r>
          </w:p>
        </w:tc>
        <w:tc>
          <w:tcPr>
            <w:tcW w:w="850" w:type="dxa"/>
            <w:vAlign w:val="center"/>
          </w:tcPr>
          <w:p w:rsidR="00F715EC" w:rsidRDefault="00F715EC">
            <w:pPr>
              <w:widowControl w:val="0"/>
              <w:jc w:val="center"/>
              <w:rPr>
                <w:rFonts w:ascii="Times New Roman" w:eastAsia="仿宋_GB2312" w:hAnsi="Times New Roman"/>
                <w:b/>
                <w:kern w:val="2"/>
                <w:sz w:val="24"/>
                <w:szCs w:val="24"/>
              </w:rPr>
            </w:pPr>
            <w:r>
              <w:rPr>
                <w:rFonts w:eastAsia="仿宋_GB2312" w:hint="eastAsia"/>
                <w:b/>
                <w:sz w:val="24"/>
              </w:rPr>
              <w:t>产品</w:t>
            </w:r>
          </w:p>
        </w:tc>
        <w:tc>
          <w:tcPr>
            <w:tcW w:w="850" w:type="dxa"/>
            <w:vAlign w:val="center"/>
          </w:tcPr>
          <w:p w:rsidR="00F715EC" w:rsidRDefault="00F715EC">
            <w:pPr>
              <w:widowControl w:val="0"/>
              <w:jc w:val="center"/>
              <w:rPr>
                <w:rFonts w:ascii="Times New Roman" w:eastAsia="仿宋_GB2312" w:hAnsi="Times New Roman"/>
                <w:b/>
                <w:kern w:val="2"/>
                <w:sz w:val="24"/>
                <w:szCs w:val="24"/>
              </w:rPr>
            </w:pPr>
            <w:r>
              <w:rPr>
                <w:rFonts w:eastAsia="仿宋_GB2312" w:hint="eastAsia"/>
                <w:b/>
                <w:sz w:val="24"/>
              </w:rPr>
              <w:t>功能</w:t>
            </w:r>
          </w:p>
        </w:tc>
        <w:tc>
          <w:tcPr>
            <w:tcW w:w="851" w:type="dxa"/>
            <w:vAlign w:val="center"/>
          </w:tcPr>
          <w:p w:rsidR="00F715EC" w:rsidRDefault="00F715EC">
            <w:pPr>
              <w:widowControl w:val="0"/>
              <w:jc w:val="center"/>
              <w:rPr>
                <w:rFonts w:ascii="Times New Roman" w:eastAsia="仿宋_GB2312" w:hAnsi="Times New Roman"/>
                <w:b/>
                <w:kern w:val="2"/>
                <w:sz w:val="24"/>
                <w:szCs w:val="24"/>
              </w:rPr>
            </w:pPr>
            <w:r>
              <w:rPr>
                <w:rFonts w:eastAsia="仿宋_GB2312" w:hint="eastAsia"/>
                <w:b/>
                <w:sz w:val="24"/>
              </w:rPr>
              <w:t>市场</w:t>
            </w:r>
          </w:p>
        </w:tc>
        <w:tc>
          <w:tcPr>
            <w:tcW w:w="1134" w:type="dxa"/>
            <w:vAlign w:val="center"/>
          </w:tcPr>
          <w:p w:rsidR="00F715EC" w:rsidRDefault="00F715EC">
            <w:pPr>
              <w:widowControl w:val="0"/>
              <w:jc w:val="center"/>
              <w:rPr>
                <w:rFonts w:ascii="Times New Roman" w:eastAsia="仿宋_GB2312" w:hAnsi="Times New Roman"/>
                <w:b/>
                <w:kern w:val="2"/>
                <w:sz w:val="24"/>
                <w:szCs w:val="24"/>
              </w:rPr>
            </w:pPr>
            <w:r>
              <w:rPr>
                <w:rFonts w:eastAsia="仿宋_GB2312" w:hint="eastAsia"/>
                <w:b/>
                <w:sz w:val="24"/>
              </w:rPr>
              <w:t>直销客户数</w:t>
            </w:r>
          </w:p>
        </w:tc>
        <w:tc>
          <w:tcPr>
            <w:tcW w:w="1134" w:type="dxa"/>
            <w:vAlign w:val="center"/>
          </w:tcPr>
          <w:p w:rsidR="00F715EC" w:rsidRDefault="00F715EC">
            <w:pPr>
              <w:widowControl w:val="0"/>
              <w:jc w:val="center"/>
              <w:rPr>
                <w:rFonts w:ascii="Times New Roman" w:eastAsia="仿宋_GB2312" w:hAnsi="Times New Roman"/>
                <w:b/>
                <w:kern w:val="2"/>
                <w:sz w:val="24"/>
                <w:szCs w:val="24"/>
              </w:rPr>
            </w:pPr>
            <w:r>
              <w:rPr>
                <w:rFonts w:eastAsia="仿宋_GB2312" w:hint="eastAsia"/>
                <w:b/>
                <w:sz w:val="24"/>
              </w:rPr>
              <w:t>批发商数量</w:t>
            </w:r>
          </w:p>
        </w:tc>
        <w:tc>
          <w:tcPr>
            <w:tcW w:w="1417" w:type="dxa"/>
            <w:vAlign w:val="center"/>
          </w:tcPr>
          <w:p w:rsidR="00F715EC" w:rsidRDefault="00F715EC">
            <w:pPr>
              <w:widowControl w:val="0"/>
              <w:jc w:val="center"/>
              <w:rPr>
                <w:rFonts w:ascii="Times New Roman" w:eastAsia="仿宋_GB2312" w:hAnsi="Times New Roman"/>
                <w:b/>
                <w:kern w:val="2"/>
                <w:sz w:val="24"/>
                <w:szCs w:val="24"/>
              </w:rPr>
            </w:pPr>
            <w:r>
              <w:rPr>
                <w:rFonts w:eastAsia="仿宋_GB2312" w:hint="eastAsia"/>
                <w:b/>
                <w:sz w:val="24"/>
              </w:rPr>
              <w:t>零售商数量</w:t>
            </w:r>
          </w:p>
        </w:tc>
        <w:tc>
          <w:tcPr>
            <w:tcW w:w="1468" w:type="dxa"/>
            <w:vAlign w:val="center"/>
          </w:tcPr>
          <w:p w:rsidR="00F715EC" w:rsidRDefault="00F715EC">
            <w:pPr>
              <w:widowControl w:val="0"/>
              <w:jc w:val="center"/>
              <w:rPr>
                <w:rFonts w:ascii="Times New Roman" w:eastAsia="仿宋_GB2312" w:hAnsi="Times New Roman"/>
                <w:b/>
                <w:kern w:val="2"/>
                <w:sz w:val="24"/>
                <w:szCs w:val="24"/>
              </w:rPr>
            </w:pPr>
            <w:r>
              <w:rPr>
                <w:rFonts w:eastAsia="仿宋_GB2312" w:hint="eastAsia"/>
                <w:b/>
                <w:sz w:val="24"/>
              </w:rPr>
              <w:t>估计毛利</w:t>
            </w:r>
          </w:p>
        </w:tc>
      </w:tr>
      <w:tr w:rsidR="00F715EC">
        <w:trPr>
          <w:trHeight w:val="454"/>
        </w:trPr>
        <w:tc>
          <w:tcPr>
            <w:tcW w:w="816" w:type="dxa"/>
            <w:vAlign w:val="center"/>
          </w:tcPr>
          <w:p w:rsidR="00F715EC" w:rsidRDefault="00F715EC">
            <w:pPr>
              <w:widowControl w:val="0"/>
              <w:jc w:val="center"/>
              <w:rPr>
                <w:rFonts w:ascii="Times New Roman" w:eastAsia="仿宋_GB2312" w:hAnsi="Times New Roman"/>
                <w:kern w:val="2"/>
                <w:sz w:val="24"/>
                <w:szCs w:val="24"/>
              </w:rPr>
            </w:pPr>
            <w:r>
              <w:rPr>
                <w:rFonts w:eastAsia="仿宋_GB2312"/>
                <w:sz w:val="24"/>
              </w:rPr>
              <w:t>1</w:t>
            </w:r>
          </w:p>
        </w:tc>
        <w:tc>
          <w:tcPr>
            <w:tcW w:w="850" w:type="dxa"/>
            <w:vAlign w:val="center"/>
          </w:tcPr>
          <w:p w:rsidR="00F715EC" w:rsidRDefault="00F715EC">
            <w:pPr>
              <w:widowControl w:val="0"/>
              <w:jc w:val="center"/>
              <w:rPr>
                <w:rFonts w:ascii="Times New Roman" w:eastAsia="仿宋_GB2312" w:hAnsi="Times New Roman"/>
                <w:kern w:val="2"/>
                <w:sz w:val="24"/>
                <w:szCs w:val="24"/>
              </w:rPr>
            </w:pPr>
            <w:r>
              <w:rPr>
                <w:rFonts w:eastAsia="仿宋_GB2312"/>
                <w:sz w:val="24"/>
              </w:rPr>
              <w:t>P1</w:t>
            </w:r>
          </w:p>
        </w:tc>
        <w:tc>
          <w:tcPr>
            <w:tcW w:w="850" w:type="dxa"/>
            <w:vAlign w:val="center"/>
          </w:tcPr>
          <w:p w:rsidR="00F715EC" w:rsidRDefault="00F715EC">
            <w:pPr>
              <w:widowControl w:val="0"/>
              <w:jc w:val="center"/>
              <w:rPr>
                <w:rFonts w:ascii="Times New Roman" w:eastAsia="仿宋_GB2312" w:hAnsi="Times New Roman"/>
                <w:kern w:val="2"/>
                <w:sz w:val="24"/>
                <w:szCs w:val="24"/>
              </w:rPr>
            </w:pPr>
            <w:r>
              <w:rPr>
                <w:rFonts w:eastAsia="仿宋_GB2312"/>
                <w:sz w:val="24"/>
              </w:rPr>
              <w:t>F1</w:t>
            </w:r>
          </w:p>
        </w:tc>
        <w:tc>
          <w:tcPr>
            <w:tcW w:w="851" w:type="dxa"/>
            <w:vAlign w:val="center"/>
          </w:tcPr>
          <w:p w:rsidR="00F715EC" w:rsidRDefault="00F715EC">
            <w:pPr>
              <w:widowControl w:val="0"/>
              <w:jc w:val="center"/>
              <w:rPr>
                <w:rFonts w:ascii="Times New Roman" w:eastAsia="仿宋_GB2312" w:hAnsi="Times New Roman"/>
                <w:kern w:val="2"/>
                <w:sz w:val="24"/>
                <w:szCs w:val="24"/>
              </w:rPr>
            </w:pPr>
            <w:r>
              <w:rPr>
                <w:rFonts w:eastAsia="仿宋_GB2312" w:hint="eastAsia"/>
                <w:sz w:val="24"/>
              </w:rPr>
              <w:t>本地</w:t>
            </w:r>
          </w:p>
        </w:tc>
        <w:tc>
          <w:tcPr>
            <w:tcW w:w="1134" w:type="dxa"/>
            <w:vAlign w:val="center"/>
          </w:tcPr>
          <w:p w:rsidR="00F715EC" w:rsidRDefault="00F715EC">
            <w:pPr>
              <w:widowControl w:val="0"/>
              <w:jc w:val="center"/>
              <w:rPr>
                <w:rFonts w:ascii="Times New Roman" w:eastAsia="仿宋_GB2312" w:hAnsi="Times New Roman"/>
                <w:kern w:val="2"/>
                <w:sz w:val="24"/>
                <w:szCs w:val="24"/>
              </w:rPr>
            </w:pPr>
            <w:r>
              <w:rPr>
                <w:rFonts w:eastAsia="仿宋_GB2312"/>
                <w:sz w:val="24"/>
              </w:rPr>
              <w:t>20</w:t>
            </w:r>
          </w:p>
        </w:tc>
        <w:tc>
          <w:tcPr>
            <w:tcW w:w="1134" w:type="dxa"/>
            <w:vAlign w:val="center"/>
          </w:tcPr>
          <w:p w:rsidR="00F715EC" w:rsidRDefault="00F715EC">
            <w:pPr>
              <w:widowControl w:val="0"/>
              <w:jc w:val="center"/>
              <w:rPr>
                <w:rFonts w:ascii="Times New Roman" w:eastAsia="仿宋_GB2312" w:hAnsi="Times New Roman"/>
                <w:kern w:val="2"/>
                <w:sz w:val="24"/>
                <w:szCs w:val="24"/>
              </w:rPr>
            </w:pPr>
            <w:r>
              <w:rPr>
                <w:rFonts w:eastAsia="仿宋_GB2312"/>
                <w:sz w:val="24"/>
              </w:rPr>
              <w:t>30</w:t>
            </w:r>
          </w:p>
        </w:tc>
        <w:tc>
          <w:tcPr>
            <w:tcW w:w="1417" w:type="dxa"/>
            <w:vAlign w:val="center"/>
          </w:tcPr>
          <w:p w:rsidR="00F715EC" w:rsidRDefault="00F715EC">
            <w:pPr>
              <w:widowControl w:val="0"/>
              <w:jc w:val="center"/>
              <w:rPr>
                <w:rFonts w:ascii="Times New Roman" w:eastAsia="仿宋_GB2312" w:hAnsi="Times New Roman"/>
                <w:kern w:val="2"/>
                <w:sz w:val="24"/>
                <w:szCs w:val="24"/>
              </w:rPr>
            </w:pPr>
            <w:r>
              <w:rPr>
                <w:rFonts w:eastAsia="仿宋_GB2312"/>
                <w:sz w:val="24"/>
              </w:rPr>
              <w:t>60</w:t>
            </w:r>
          </w:p>
        </w:tc>
        <w:tc>
          <w:tcPr>
            <w:tcW w:w="1468" w:type="dxa"/>
            <w:vAlign w:val="center"/>
          </w:tcPr>
          <w:p w:rsidR="00F715EC" w:rsidRDefault="00F715EC">
            <w:pPr>
              <w:widowControl w:val="0"/>
              <w:jc w:val="center"/>
              <w:rPr>
                <w:rFonts w:ascii="Times New Roman" w:eastAsia="仿宋_GB2312" w:hAnsi="Times New Roman"/>
                <w:kern w:val="2"/>
                <w:sz w:val="24"/>
                <w:szCs w:val="24"/>
              </w:rPr>
            </w:pPr>
            <w:r>
              <w:rPr>
                <w:rFonts w:eastAsia="仿宋_GB2312"/>
                <w:sz w:val="24"/>
              </w:rPr>
              <w:t>20</w:t>
            </w:r>
          </w:p>
        </w:tc>
      </w:tr>
      <w:tr w:rsidR="00F715EC">
        <w:trPr>
          <w:trHeight w:val="454"/>
        </w:trPr>
        <w:tc>
          <w:tcPr>
            <w:tcW w:w="816" w:type="dxa"/>
            <w:vAlign w:val="center"/>
          </w:tcPr>
          <w:p w:rsidR="00F715EC" w:rsidRDefault="00F715EC">
            <w:pPr>
              <w:widowControl w:val="0"/>
              <w:jc w:val="center"/>
              <w:rPr>
                <w:rFonts w:ascii="Times New Roman" w:eastAsia="仿宋_GB2312" w:hAnsi="Times New Roman"/>
                <w:kern w:val="2"/>
                <w:sz w:val="24"/>
                <w:szCs w:val="24"/>
              </w:rPr>
            </w:pPr>
            <w:r>
              <w:rPr>
                <w:rFonts w:eastAsia="仿宋_GB2312"/>
                <w:sz w:val="24"/>
              </w:rPr>
              <w:t>2</w:t>
            </w:r>
          </w:p>
        </w:tc>
        <w:tc>
          <w:tcPr>
            <w:tcW w:w="850" w:type="dxa"/>
            <w:vAlign w:val="center"/>
          </w:tcPr>
          <w:p w:rsidR="00F715EC" w:rsidRDefault="00F715EC">
            <w:pPr>
              <w:widowControl w:val="0"/>
              <w:jc w:val="center"/>
              <w:rPr>
                <w:rFonts w:ascii="Times New Roman" w:eastAsia="仿宋_GB2312" w:hAnsi="Times New Roman"/>
                <w:kern w:val="2"/>
                <w:sz w:val="24"/>
                <w:szCs w:val="24"/>
              </w:rPr>
            </w:pPr>
            <w:r>
              <w:rPr>
                <w:rFonts w:eastAsia="仿宋_GB2312"/>
                <w:sz w:val="24"/>
              </w:rPr>
              <w:t>P2</w:t>
            </w:r>
          </w:p>
        </w:tc>
        <w:tc>
          <w:tcPr>
            <w:tcW w:w="850" w:type="dxa"/>
            <w:vAlign w:val="center"/>
          </w:tcPr>
          <w:p w:rsidR="00F715EC" w:rsidRDefault="00F715EC">
            <w:pPr>
              <w:widowControl w:val="0"/>
              <w:jc w:val="center"/>
              <w:rPr>
                <w:rFonts w:ascii="Times New Roman" w:eastAsia="仿宋_GB2312" w:hAnsi="Times New Roman"/>
                <w:kern w:val="2"/>
                <w:sz w:val="24"/>
                <w:szCs w:val="24"/>
              </w:rPr>
            </w:pPr>
            <w:r>
              <w:rPr>
                <w:rFonts w:eastAsia="仿宋_GB2312"/>
                <w:sz w:val="24"/>
              </w:rPr>
              <w:t>F2</w:t>
            </w:r>
          </w:p>
        </w:tc>
        <w:tc>
          <w:tcPr>
            <w:tcW w:w="851" w:type="dxa"/>
            <w:vAlign w:val="center"/>
          </w:tcPr>
          <w:p w:rsidR="00F715EC" w:rsidRDefault="00F715EC">
            <w:pPr>
              <w:widowControl w:val="0"/>
              <w:jc w:val="center"/>
              <w:rPr>
                <w:rFonts w:ascii="Times New Roman" w:eastAsia="仿宋_GB2312" w:hAnsi="Times New Roman"/>
                <w:kern w:val="2"/>
                <w:sz w:val="24"/>
                <w:szCs w:val="24"/>
              </w:rPr>
            </w:pPr>
            <w:r>
              <w:rPr>
                <w:rFonts w:eastAsia="仿宋_GB2312" w:hint="eastAsia"/>
                <w:sz w:val="24"/>
              </w:rPr>
              <w:t>区域</w:t>
            </w:r>
          </w:p>
        </w:tc>
        <w:tc>
          <w:tcPr>
            <w:tcW w:w="1134" w:type="dxa"/>
            <w:vAlign w:val="center"/>
          </w:tcPr>
          <w:p w:rsidR="00F715EC" w:rsidRDefault="00F715EC">
            <w:pPr>
              <w:widowControl w:val="0"/>
              <w:jc w:val="center"/>
              <w:rPr>
                <w:rFonts w:ascii="Times New Roman" w:eastAsia="仿宋_GB2312" w:hAnsi="Times New Roman"/>
                <w:kern w:val="2"/>
                <w:sz w:val="24"/>
                <w:szCs w:val="24"/>
              </w:rPr>
            </w:pPr>
            <w:r>
              <w:rPr>
                <w:rFonts w:eastAsia="仿宋_GB2312"/>
                <w:sz w:val="24"/>
              </w:rPr>
              <w:t>10</w:t>
            </w:r>
          </w:p>
        </w:tc>
        <w:tc>
          <w:tcPr>
            <w:tcW w:w="1134" w:type="dxa"/>
            <w:vAlign w:val="center"/>
          </w:tcPr>
          <w:p w:rsidR="00F715EC" w:rsidRDefault="00F715EC">
            <w:pPr>
              <w:widowControl w:val="0"/>
              <w:jc w:val="center"/>
              <w:rPr>
                <w:rFonts w:ascii="Times New Roman" w:eastAsia="仿宋_GB2312" w:hAnsi="Times New Roman"/>
                <w:kern w:val="2"/>
                <w:sz w:val="24"/>
                <w:szCs w:val="24"/>
              </w:rPr>
            </w:pPr>
            <w:r>
              <w:rPr>
                <w:rFonts w:eastAsia="仿宋_GB2312"/>
                <w:sz w:val="24"/>
              </w:rPr>
              <w:t>60</w:t>
            </w:r>
          </w:p>
        </w:tc>
        <w:tc>
          <w:tcPr>
            <w:tcW w:w="1417" w:type="dxa"/>
            <w:vAlign w:val="center"/>
          </w:tcPr>
          <w:p w:rsidR="00F715EC" w:rsidRDefault="00F715EC">
            <w:pPr>
              <w:widowControl w:val="0"/>
              <w:jc w:val="center"/>
              <w:rPr>
                <w:rFonts w:ascii="Times New Roman" w:eastAsia="仿宋_GB2312" w:hAnsi="Times New Roman"/>
                <w:kern w:val="2"/>
                <w:sz w:val="24"/>
                <w:szCs w:val="24"/>
              </w:rPr>
            </w:pPr>
            <w:r>
              <w:rPr>
                <w:rFonts w:eastAsia="仿宋_GB2312"/>
                <w:sz w:val="24"/>
              </w:rPr>
              <w:t>30</w:t>
            </w:r>
          </w:p>
        </w:tc>
        <w:tc>
          <w:tcPr>
            <w:tcW w:w="1468" w:type="dxa"/>
            <w:vAlign w:val="center"/>
          </w:tcPr>
          <w:p w:rsidR="00F715EC" w:rsidRDefault="00F715EC">
            <w:pPr>
              <w:widowControl w:val="0"/>
              <w:jc w:val="center"/>
              <w:rPr>
                <w:rFonts w:ascii="Times New Roman" w:eastAsia="仿宋_GB2312" w:hAnsi="Times New Roman"/>
                <w:kern w:val="2"/>
                <w:sz w:val="24"/>
                <w:szCs w:val="24"/>
              </w:rPr>
            </w:pPr>
            <w:r>
              <w:rPr>
                <w:rFonts w:eastAsia="仿宋_GB2312"/>
                <w:sz w:val="24"/>
              </w:rPr>
              <w:t>40</w:t>
            </w:r>
          </w:p>
        </w:tc>
      </w:tr>
      <w:tr w:rsidR="00F715EC">
        <w:trPr>
          <w:trHeight w:val="454"/>
        </w:trPr>
        <w:tc>
          <w:tcPr>
            <w:tcW w:w="816" w:type="dxa"/>
            <w:vAlign w:val="center"/>
          </w:tcPr>
          <w:p w:rsidR="00F715EC" w:rsidRDefault="00F715EC">
            <w:pPr>
              <w:widowControl w:val="0"/>
              <w:jc w:val="center"/>
              <w:rPr>
                <w:rFonts w:ascii="Times New Roman" w:eastAsia="仿宋_GB2312" w:hAnsi="Times New Roman"/>
                <w:kern w:val="2"/>
                <w:sz w:val="24"/>
                <w:szCs w:val="24"/>
              </w:rPr>
            </w:pPr>
          </w:p>
        </w:tc>
        <w:tc>
          <w:tcPr>
            <w:tcW w:w="850" w:type="dxa"/>
            <w:vAlign w:val="center"/>
          </w:tcPr>
          <w:p w:rsidR="00F715EC" w:rsidRDefault="00F715EC">
            <w:pPr>
              <w:widowControl w:val="0"/>
              <w:jc w:val="center"/>
              <w:rPr>
                <w:rFonts w:ascii="Times New Roman" w:eastAsia="仿宋_GB2312" w:hAnsi="Times New Roman"/>
                <w:kern w:val="2"/>
                <w:sz w:val="24"/>
                <w:szCs w:val="24"/>
              </w:rPr>
            </w:pPr>
          </w:p>
        </w:tc>
        <w:tc>
          <w:tcPr>
            <w:tcW w:w="850" w:type="dxa"/>
            <w:vAlign w:val="center"/>
          </w:tcPr>
          <w:p w:rsidR="00F715EC" w:rsidRDefault="00F715EC">
            <w:pPr>
              <w:widowControl w:val="0"/>
              <w:jc w:val="center"/>
              <w:rPr>
                <w:rFonts w:ascii="Times New Roman" w:eastAsia="仿宋_GB2312" w:hAnsi="Times New Roman"/>
                <w:kern w:val="2"/>
                <w:sz w:val="24"/>
                <w:szCs w:val="24"/>
              </w:rPr>
            </w:pPr>
          </w:p>
        </w:tc>
        <w:tc>
          <w:tcPr>
            <w:tcW w:w="851" w:type="dxa"/>
            <w:vAlign w:val="center"/>
          </w:tcPr>
          <w:p w:rsidR="00F715EC" w:rsidRDefault="00F715EC">
            <w:pPr>
              <w:widowControl w:val="0"/>
              <w:jc w:val="center"/>
              <w:rPr>
                <w:rFonts w:ascii="Times New Roman" w:eastAsia="仿宋_GB2312" w:hAnsi="Times New Roman"/>
                <w:kern w:val="2"/>
                <w:sz w:val="24"/>
                <w:szCs w:val="24"/>
              </w:rPr>
            </w:pPr>
          </w:p>
        </w:tc>
        <w:tc>
          <w:tcPr>
            <w:tcW w:w="1134" w:type="dxa"/>
            <w:vAlign w:val="center"/>
          </w:tcPr>
          <w:p w:rsidR="00F715EC" w:rsidRDefault="00F715EC">
            <w:pPr>
              <w:widowControl w:val="0"/>
              <w:jc w:val="center"/>
              <w:rPr>
                <w:rFonts w:ascii="Times New Roman" w:eastAsia="仿宋_GB2312" w:hAnsi="Times New Roman"/>
                <w:kern w:val="2"/>
                <w:sz w:val="24"/>
                <w:szCs w:val="24"/>
              </w:rPr>
            </w:pPr>
          </w:p>
        </w:tc>
        <w:tc>
          <w:tcPr>
            <w:tcW w:w="1134" w:type="dxa"/>
            <w:vAlign w:val="center"/>
          </w:tcPr>
          <w:p w:rsidR="00F715EC" w:rsidRDefault="00F715EC">
            <w:pPr>
              <w:widowControl w:val="0"/>
              <w:jc w:val="center"/>
              <w:rPr>
                <w:rFonts w:ascii="Times New Roman" w:eastAsia="仿宋_GB2312" w:hAnsi="Times New Roman"/>
                <w:kern w:val="2"/>
                <w:sz w:val="24"/>
                <w:szCs w:val="24"/>
              </w:rPr>
            </w:pPr>
          </w:p>
        </w:tc>
        <w:tc>
          <w:tcPr>
            <w:tcW w:w="1417" w:type="dxa"/>
            <w:vAlign w:val="center"/>
          </w:tcPr>
          <w:p w:rsidR="00F715EC" w:rsidRDefault="00F715EC">
            <w:pPr>
              <w:widowControl w:val="0"/>
              <w:jc w:val="center"/>
              <w:rPr>
                <w:rFonts w:ascii="Times New Roman" w:eastAsia="仿宋_GB2312" w:hAnsi="Times New Roman"/>
                <w:kern w:val="2"/>
                <w:sz w:val="24"/>
                <w:szCs w:val="24"/>
              </w:rPr>
            </w:pPr>
          </w:p>
        </w:tc>
        <w:tc>
          <w:tcPr>
            <w:tcW w:w="1468" w:type="dxa"/>
            <w:vAlign w:val="center"/>
          </w:tcPr>
          <w:p w:rsidR="00F715EC" w:rsidRDefault="00F715EC">
            <w:pPr>
              <w:widowControl w:val="0"/>
              <w:jc w:val="center"/>
              <w:rPr>
                <w:rFonts w:ascii="Times New Roman" w:eastAsia="仿宋_GB2312" w:hAnsi="Times New Roman"/>
                <w:kern w:val="2"/>
                <w:sz w:val="24"/>
                <w:szCs w:val="24"/>
              </w:rPr>
            </w:pPr>
          </w:p>
        </w:tc>
      </w:tr>
    </w:tbl>
    <w:p w:rsidR="00F715EC" w:rsidRDefault="00F715EC">
      <w:pPr>
        <w:pStyle w:val="NormalIndent"/>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3</w:t>
      </w:r>
      <w:r>
        <w:rPr>
          <w:rFonts w:ascii="仿宋_GB2312" w:eastAsia="仿宋_GB2312" w:hAnsi="仿宋_GB2312" w:cs="仿宋_GB2312" w:hint="eastAsia"/>
          <w:b/>
          <w:sz w:val="32"/>
          <w:szCs w:val="32"/>
        </w:rPr>
        <w:t>．价格策略</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根据定价目标、确定需求、估计成本、选择定价方法，制定最终价格。比如：企业</w:t>
      </w:r>
      <w:r>
        <w:rPr>
          <w:rFonts w:ascii="仿宋_GB2312" w:eastAsia="仿宋_GB2312" w:hAnsi="仿宋_GB2312" w:cs="仿宋_GB2312"/>
          <w:sz w:val="32"/>
          <w:szCs w:val="32"/>
        </w:rPr>
        <w:t>P1</w:t>
      </w:r>
      <w:r>
        <w:rPr>
          <w:rFonts w:ascii="仿宋_GB2312" w:eastAsia="仿宋_GB2312" w:hAnsi="仿宋_GB2312" w:cs="仿宋_GB2312" w:hint="eastAsia"/>
          <w:sz w:val="32"/>
          <w:szCs w:val="32"/>
        </w:rPr>
        <w:t>库存较大，直接成本是</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，零售市场平均期望价是</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，参赛选手制定合适价格。</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检验参赛选手对价格构成要素及影响，定价因素的理解和掌握情况；检验参赛选手对定价目标和原则的熟悉和掌握情况；检验参赛选手对定价程序和方法的掌握和运用情况；检验参赛选手对定价策略的掌握和运用情况。熟悉价格制定的原理和方法，灵活运用价格策略，实现成功营销。</w:t>
      </w:r>
    </w:p>
    <w:p w:rsidR="00F715EC" w:rsidRDefault="00F715EC">
      <w:pPr>
        <w:pStyle w:val="NormalIndent"/>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4</w:t>
      </w:r>
      <w:r>
        <w:rPr>
          <w:rFonts w:ascii="仿宋_GB2312" w:eastAsia="仿宋_GB2312" w:hAnsi="仿宋_GB2312" w:cs="仿宋_GB2312" w:hint="eastAsia"/>
          <w:b/>
          <w:sz w:val="32"/>
          <w:szCs w:val="32"/>
        </w:rPr>
        <w:t>．渠道策略</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根据调研报告提供四种产品、三种营销渠道的市场预测价格和数量，结合企业自身和竞争对手状况，采用多渠道组合营销手段扩大销售。</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熟悉直销、批发、零售三种渠道的概念及特征，掌握影响渠道模式选择的因素：产品因素、市场因素、企业自身因素和竞争对手因素。</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直销：选手只有在进行了直销客户的开发以后，才有机会参与直销客户的投标。投标流程为：投标报名、资格预审、购买标书、投标、中标公示。采用综合评分法确定中标小组，缴纳履约保证金。每个客户开发费用为</w:t>
      </w:r>
      <w:r>
        <w:rPr>
          <w:rFonts w:ascii="仿宋_GB2312" w:eastAsia="仿宋_GB2312" w:hAnsi="仿宋_GB2312" w:cs="仿宋_GB2312"/>
          <w:sz w:val="32"/>
          <w:szCs w:val="32"/>
        </w:rPr>
        <w:t>5W</w:t>
      </w:r>
      <w:r>
        <w:rPr>
          <w:rFonts w:ascii="仿宋_GB2312" w:eastAsia="仿宋_GB2312" w:hAnsi="仿宋_GB2312" w:cs="仿宋_GB2312" w:hint="eastAsia"/>
          <w:sz w:val="32"/>
          <w:szCs w:val="32"/>
        </w:rPr>
        <w:t>。</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）批发：选手需根据自身的营销策略，在不同市场上制定不同产品的批发招商广告的投放策略，招商广告费用最低为</w:t>
      </w:r>
      <w:r>
        <w:rPr>
          <w:rFonts w:ascii="仿宋_GB2312" w:eastAsia="仿宋_GB2312" w:hAnsi="仿宋_GB2312" w:cs="仿宋_GB2312"/>
          <w:sz w:val="32"/>
          <w:szCs w:val="32"/>
        </w:rPr>
        <w:t>1W</w:t>
      </w:r>
      <w:r>
        <w:rPr>
          <w:rFonts w:ascii="仿宋_GB2312" w:eastAsia="仿宋_GB2312" w:hAnsi="仿宋_GB2312" w:cs="仿宋_GB2312" w:hint="eastAsia"/>
          <w:sz w:val="32"/>
          <w:szCs w:val="32"/>
        </w:rPr>
        <w:t>，最高不限制，但必须是整数。选手在投放招商广告完成后，由裁判统一控制选单。</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）零售：为了扩大市场，提高销售额，选手需要选择更多合适的零售商进店销售。选手在选择合适的零售商签约以后，需要将自己的产品配送给各个零售商进行销售。</w:t>
      </w:r>
    </w:p>
    <w:p w:rsidR="00F715EC" w:rsidRDefault="00F715EC">
      <w:pPr>
        <w:pStyle w:val="NormalIndent"/>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5</w:t>
      </w:r>
      <w:r>
        <w:rPr>
          <w:rFonts w:ascii="仿宋_GB2312" w:eastAsia="仿宋_GB2312" w:hAnsi="仿宋_GB2312" w:cs="仿宋_GB2312" w:hint="eastAsia"/>
          <w:b/>
          <w:sz w:val="32"/>
          <w:szCs w:val="32"/>
        </w:rPr>
        <w:t>．促销策略</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）销售促进：选手采用满就送、多买折扣、买第几件折扣等促销活动，吸引不定型消费人群，增大销售额。熟悉销售促进的概念，掌握销售促进的活动方式。</w:t>
      </w:r>
    </w:p>
    <w:p w:rsidR="00F715EC" w:rsidRDefault="00F715EC">
      <w:pPr>
        <w:jc w:val="center"/>
        <w:rPr>
          <w:rFonts w:ascii="Times New Roman" w:eastAsia="仿宋_GB2312"/>
          <w:sz w:val="28"/>
          <w:szCs w:val="28"/>
        </w:rPr>
      </w:pPr>
      <w:r w:rsidRPr="00AC007C">
        <w:rPr>
          <w:rFonts w:eastAsia="仿宋_GB2312"/>
          <w:sz w:val="28"/>
          <w:szCs w:val="28"/>
        </w:rPr>
        <w:pict>
          <v:shape id="_x0000_i1027" type="#_x0000_t75" style="width:411pt;height:134.25pt">
            <v:imagedata r:id="rId7" o:title=""/>
          </v:shape>
        </w:pict>
      </w:r>
    </w:p>
    <w:p w:rsidR="00F715EC" w:rsidRDefault="00F715EC" w:rsidP="002028F0">
      <w:pPr>
        <w:spacing w:afterLines="50"/>
        <w:jc w:val="center"/>
        <w:rPr>
          <w:rFonts w:eastAsia="仿宋_GB2312"/>
          <w:sz w:val="24"/>
          <w:szCs w:val="24"/>
        </w:rPr>
      </w:pPr>
      <w:r>
        <w:rPr>
          <w:rFonts w:eastAsia="仿宋_GB2312" w:hint="eastAsia"/>
          <w:sz w:val="24"/>
        </w:rPr>
        <w:t>图</w:t>
      </w:r>
      <w:r>
        <w:rPr>
          <w:rFonts w:eastAsia="仿宋_GB2312"/>
          <w:sz w:val="24"/>
        </w:rPr>
        <w:t xml:space="preserve">3  </w:t>
      </w:r>
      <w:r>
        <w:rPr>
          <w:rFonts w:eastAsia="仿宋_GB2312" w:hint="eastAsia"/>
          <w:sz w:val="24"/>
        </w:rPr>
        <w:t>满就送促销</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）广告策略：选手选择百度竞价排名和央视的多个时段投放广告，吸引习惯型消费人群，增大销售额。熟悉广告的概念、分类；掌握广告的基本原则；掌握广告媒体选择应考虑的因素。</w:t>
      </w:r>
    </w:p>
    <w:p w:rsidR="00F715EC" w:rsidRDefault="00F715EC">
      <w:pPr>
        <w:jc w:val="center"/>
        <w:rPr>
          <w:rFonts w:ascii="Times New Roman" w:eastAsia="仿宋_GB2312"/>
          <w:sz w:val="28"/>
          <w:szCs w:val="28"/>
        </w:rPr>
      </w:pPr>
      <w:r w:rsidRPr="00AC007C">
        <w:rPr>
          <w:rFonts w:eastAsia="仿宋_GB2312"/>
          <w:sz w:val="28"/>
          <w:szCs w:val="28"/>
        </w:rPr>
        <w:pict>
          <v:shape id="_x0000_i1028" type="#_x0000_t75" style="width:385.5pt;height:185.25pt">
            <v:imagedata r:id="rId8" o:title="" cropbottom="13135f"/>
          </v:shape>
        </w:pict>
      </w:r>
    </w:p>
    <w:p w:rsidR="00F715EC" w:rsidRDefault="00F715EC" w:rsidP="002028F0">
      <w:pPr>
        <w:spacing w:afterLines="50"/>
        <w:jc w:val="center"/>
        <w:rPr>
          <w:rFonts w:eastAsia="仿宋_GB2312"/>
          <w:sz w:val="24"/>
          <w:szCs w:val="24"/>
        </w:rPr>
      </w:pPr>
      <w:r>
        <w:rPr>
          <w:rFonts w:eastAsia="仿宋_GB2312" w:hint="eastAsia"/>
          <w:sz w:val="24"/>
        </w:rPr>
        <w:t>图</w:t>
      </w:r>
      <w:r>
        <w:rPr>
          <w:rFonts w:eastAsia="仿宋_GB2312"/>
          <w:sz w:val="24"/>
        </w:rPr>
        <w:t xml:space="preserve">4  </w:t>
      </w:r>
      <w:r>
        <w:rPr>
          <w:rFonts w:eastAsia="仿宋_GB2312" w:hint="eastAsia"/>
          <w:sz w:val="24"/>
        </w:rPr>
        <w:t>媒体位置或时段价格表</w:t>
      </w:r>
    </w:p>
    <w:p w:rsidR="00F715EC" w:rsidRDefault="00F715EC">
      <w:pPr>
        <w:pStyle w:val="NormalIndent"/>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6</w:t>
      </w:r>
      <w:r>
        <w:rPr>
          <w:rFonts w:ascii="仿宋_GB2312" w:eastAsia="仿宋_GB2312" w:hAnsi="仿宋_GB2312" w:cs="仿宋_GB2312" w:hint="eastAsia"/>
          <w:b/>
          <w:sz w:val="32"/>
          <w:szCs w:val="32"/>
        </w:rPr>
        <w:t>．产品策略</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根据目标市场选择，制定产品研发计划和产品生产计划。目前只有</w:t>
      </w:r>
      <w:r>
        <w:rPr>
          <w:rFonts w:ascii="仿宋_GB2312" w:eastAsia="仿宋_GB2312" w:hAnsi="仿宋_GB2312" w:cs="仿宋_GB2312"/>
          <w:sz w:val="32"/>
          <w:szCs w:val="32"/>
        </w:rPr>
        <w:t>P1</w:t>
      </w:r>
      <w:r>
        <w:rPr>
          <w:rFonts w:ascii="仿宋_GB2312" w:eastAsia="仿宋_GB2312" w:hAnsi="仿宋_GB2312" w:cs="仿宋_GB2312" w:hint="eastAsia"/>
          <w:sz w:val="32"/>
          <w:szCs w:val="32"/>
        </w:rPr>
        <w:t>产品，</w:t>
      </w:r>
      <w:r>
        <w:rPr>
          <w:rFonts w:ascii="仿宋_GB2312" w:eastAsia="仿宋_GB2312" w:hAnsi="仿宋_GB2312" w:cs="仿宋_GB2312"/>
          <w:sz w:val="32"/>
          <w:szCs w:val="32"/>
        </w:rPr>
        <w:t xml:space="preserve">P2 </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P3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P4</w:t>
      </w:r>
      <w:r>
        <w:rPr>
          <w:rFonts w:ascii="仿宋_GB2312" w:eastAsia="仿宋_GB2312" w:hAnsi="仿宋_GB2312" w:cs="仿宋_GB2312" w:hint="eastAsia"/>
          <w:sz w:val="32"/>
          <w:szCs w:val="32"/>
        </w:rPr>
        <w:t>需要三个季度研发，研发费用</w:t>
      </w:r>
      <w:r>
        <w:rPr>
          <w:rFonts w:ascii="仿宋_GB2312" w:eastAsia="仿宋_GB2312" w:hAnsi="仿宋_GB2312" w:cs="仿宋_GB2312"/>
          <w:sz w:val="32"/>
          <w:szCs w:val="32"/>
        </w:rPr>
        <w:t>10W</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20W</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30W</w:t>
      </w:r>
      <w:r>
        <w:rPr>
          <w:rFonts w:ascii="仿宋_GB2312" w:eastAsia="仿宋_GB2312" w:hAnsi="仿宋_GB2312" w:cs="仿宋_GB2312" w:hint="eastAsia"/>
          <w:sz w:val="32"/>
          <w:szCs w:val="32"/>
        </w:rPr>
        <w:t>。只有产品研发完成后，才能进行该产品的生产。</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熟悉产品市场生命周期的概念；掌握产品组合策略和差异化策略。</w:t>
      </w:r>
    </w:p>
    <w:p w:rsidR="00F715EC" w:rsidRDefault="00F715EC">
      <w:pPr>
        <w:pStyle w:val="NormalIndent"/>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7</w:t>
      </w:r>
      <w:r>
        <w:rPr>
          <w:rFonts w:ascii="仿宋_GB2312" w:eastAsia="仿宋_GB2312" w:hAnsi="仿宋_GB2312" w:cs="仿宋_GB2312" w:hint="eastAsia"/>
          <w:b/>
          <w:sz w:val="32"/>
          <w:szCs w:val="32"/>
        </w:rPr>
        <w:t>．财务</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）应收应付：及时进行应收账款和应付账款的结算。</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）融资：系统中向企业运营提供了三种融资方式：短期贷款、民间融资和长期贷款。选手可根据企业经营状态进行融资。</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）支付费用：零售商管理费、租赁费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维修费、库存管理费。</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）缴税：每年第一季度缴纳上年度企业所得税。</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）根据系统自动生成的财务报表进行盈亏分析，制定下一步营销策略组合。</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）读懂财务报表，管理应收账款，维持良好的资金流，估算成本和毛利率，进行盈亏分析。</w:t>
      </w:r>
    </w:p>
    <w:p w:rsidR="00F715EC" w:rsidRDefault="00F715EC">
      <w:pPr>
        <w:pStyle w:val="1"/>
        <w:spacing w:before="120" w:after="120"/>
        <w:ind w:firstLineChars="200" w:firstLine="643"/>
        <w:rPr>
          <w:b/>
          <w:sz w:val="32"/>
          <w:szCs w:val="32"/>
        </w:rPr>
      </w:pPr>
      <w:r>
        <w:rPr>
          <w:rFonts w:hint="eastAsia"/>
          <w:b/>
          <w:sz w:val="32"/>
          <w:szCs w:val="32"/>
        </w:rPr>
        <w:t>七、竞赛规则</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竞赛前</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日</w:t>
      </w:r>
      <w:r>
        <w:rPr>
          <w:rFonts w:ascii="仿宋_GB2312" w:eastAsia="仿宋_GB2312" w:hAnsi="仿宋_GB2312" w:cs="仿宋_GB2312"/>
          <w:sz w:val="32"/>
          <w:szCs w:val="32"/>
        </w:rPr>
        <w:t>16:00—16:30</w:t>
      </w:r>
      <w:r>
        <w:rPr>
          <w:rFonts w:ascii="仿宋_GB2312" w:eastAsia="仿宋_GB2312" w:hAnsi="仿宋_GB2312" w:cs="仿宋_GB2312" w:hint="eastAsia"/>
          <w:sz w:val="32"/>
          <w:szCs w:val="32"/>
        </w:rPr>
        <w:t>安排各参赛队领队、参数选手熟悉赛场。</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严禁参赛选手、赛项裁判、工作人员私自携带通讯、摄录设备进入比赛场地。</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参赛选手所需的硬件、软件和辅助工具统一提供，参赛队不得使用自带的任何有存储功能的设备，如硬盘、光盘、</w:t>
      </w:r>
      <w:r>
        <w:rPr>
          <w:rFonts w:ascii="仿宋_GB2312" w:eastAsia="仿宋_GB2312" w:hAnsi="仿宋_GB2312" w:cs="仿宋_GB2312"/>
          <w:sz w:val="32"/>
          <w:szCs w:val="32"/>
        </w:rPr>
        <w:t>U</w:t>
      </w:r>
      <w:r>
        <w:rPr>
          <w:rFonts w:ascii="仿宋_GB2312" w:eastAsia="仿宋_GB2312" w:hAnsi="仿宋_GB2312" w:cs="仿宋_GB2312" w:hint="eastAsia"/>
          <w:sz w:val="32"/>
          <w:szCs w:val="32"/>
        </w:rPr>
        <w:t>盘、手机、随身听等。</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所有参赛选手都必须携带参赛证件进行检录</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并遵守大赛举办院校疫情防控要求，比赛期间佩戴口罩。</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参赛队在赛前</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分钟领取比赛任务并进入比赛工位，比赛正式开始后方可进行相关操作。</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比赛过程中，选手须严格遵守操作规程，确保人身及设备安全，并接受裁判员的监督和指示。因选手原因造成设备故障或损坏而无法继续比赛的，裁判长有权决定中止该队比赛；非因选手个人原因造成设备故障的，由裁判长视具体情况作出裁决。</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比赛结束（或提前完成）后，参赛队要确认已成功提交竞赛结果，参赛队在确认后不得再进行任何操作。</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赛项最终得分按</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分制计分。最终成绩经复核无误，由裁判长、监督人员和仲裁人员签字确认后公布。</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9.</w:t>
      </w:r>
      <w:r>
        <w:rPr>
          <w:rFonts w:ascii="仿宋_GB2312" w:eastAsia="仿宋_GB2312" w:hAnsi="仿宋_GB2312" w:cs="仿宋_GB2312" w:hint="eastAsia"/>
          <w:sz w:val="32"/>
          <w:szCs w:val="32"/>
        </w:rPr>
        <w:t>大赛最终成绩由大赛组委会公示后公布，任何组织和个人，不得擅自对大赛成绩进行涂改、伪造或用于欺诈等违法犯罪活动。</w:t>
      </w:r>
    </w:p>
    <w:p w:rsidR="00F715EC" w:rsidRDefault="00F715EC">
      <w:pPr>
        <w:pStyle w:val="1"/>
        <w:spacing w:before="120" w:after="120"/>
        <w:ind w:firstLineChars="200" w:firstLine="643"/>
        <w:rPr>
          <w:b/>
          <w:sz w:val="32"/>
          <w:szCs w:val="32"/>
        </w:rPr>
      </w:pPr>
      <w:r>
        <w:rPr>
          <w:rFonts w:hint="eastAsia"/>
          <w:b/>
          <w:sz w:val="32"/>
          <w:szCs w:val="32"/>
        </w:rPr>
        <w:t>八、竞赛环境</w:t>
      </w:r>
    </w:p>
    <w:p w:rsidR="00F715EC" w:rsidRDefault="00F715EC">
      <w:pPr>
        <w:widowControl w:val="0"/>
        <w:adjustRightInd/>
        <w:snapToGrid/>
        <w:spacing w:after="0" w:line="600" w:lineRule="exact"/>
        <w:ind w:firstLineChars="200" w:firstLine="640"/>
        <w:rPr>
          <w:rFonts w:ascii="楷体" w:eastAsia="楷体" w:hAnsi="楷体"/>
          <w:kern w:val="2"/>
          <w:sz w:val="32"/>
          <w:szCs w:val="32"/>
        </w:rPr>
      </w:pPr>
      <w:r>
        <w:rPr>
          <w:rFonts w:ascii="楷体" w:eastAsia="楷体" w:hAnsi="楷体" w:hint="eastAsia"/>
          <w:kern w:val="2"/>
          <w:sz w:val="32"/>
          <w:szCs w:val="32"/>
        </w:rPr>
        <w:t>（一）比赛环境</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执委会须在赛前组织专人对比赛现场、住宿场所和交通保障进行考察，并对安全工作提出明确要求。赛场的布置，赛场内的器材、设备，应符合国家有关安全规定。如有必要，也可进行赛场仿真模拟测试，以发现可能出现的问题。承办单位赛前须按照执委会要求排除安全隐患。</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．赛场周围要设立警戒线，防止无关人员进入发生意外事件。比赛现场内应参照相关职业岗位的要求为选手提供必要的劳动保护。在具有危险性的操作环节，裁判员要严防选手出现错误操作。</w:t>
      </w:r>
    </w:p>
    <w:p w:rsidR="00F715EC" w:rsidRDefault="00F715EC">
      <w:pPr>
        <w:widowControl w:val="0"/>
        <w:adjustRightInd/>
        <w:snapToGrid/>
        <w:spacing w:after="0" w:line="600" w:lineRule="exact"/>
        <w:ind w:firstLineChars="200" w:firstLine="640"/>
        <w:rPr>
          <w:rFonts w:ascii="仿宋_GB2312" w:eastAsia="仿宋_GB2312" w:hAnsi="仿宋_GB2312" w:cs="仿宋_GB2312"/>
          <w:sz w:val="32"/>
          <w:szCs w:val="32"/>
        </w:rPr>
      </w:pPr>
      <w:r>
        <w:rPr>
          <w:rFonts w:ascii="楷体" w:eastAsia="楷体" w:hAnsi="楷体" w:hint="eastAsia"/>
          <w:kern w:val="2"/>
          <w:sz w:val="32"/>
          <w:szCs w:val="32"/>
        </w:rPr>
        <w:t>（二）竞赛场地</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竞赛场地内设置背景板、宣传横幅及壁挂图，营造竞赛氛围。</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一个参赛队一个赛位，每个赛位三台电脑，其中一台电脑备用，两张桌子，四把椅子；单个赛位面积</w:t>
      </w:r>
      <w:r>
        <w:rPr>
          <w:rFonts w:ascii="仿宋_GB2312" w:eastAsia="仿宋_GB2312" w:hAnsi="仿宋_GB2312" w:cs="仿宋_GB2312"/>
          <w:sz w:val="32"/>
          <w:szCs w:val="32"/>
        </w:rPr>
        <w:t>3*</w:t>
      </w:r>
      <w:smartTag w:uri="urn:schemas-microsoft-com:office:smarttags" w:element="chmetcnv">
        <w:smartTagPr>
          <w:attr w:name="TCSC" w:val="0"/>
          <w:attr w:name="NumberType" w:val="1"/>
          <w:attr w:name="Negative" w:val="False"/>
          <w:attr w:name="HasSpace" w:val="False"/>
          <w:attr w:name="SourceValue" w:val="2.5"/>
          <w:attr w:name="UnitName" w:val="m2"/>
        </w:smartTagPr>
        <w:r>
          <w:rPr>
            <w:rFonts w:ascii="仿宋_GB2312" w:eastAsia="仿宋_GB2312" w:hAnsi="仿宋_GB2312" w:cs="仿宋_GB2312"/>
            <w:sz w:val="32"/>
            <w:szCs w:val="32"/>
          </w:rPr>
          <w:t>2.5m2</w:t>
        </w:r>
      </w:smartTag>
      <w:r>
        <w:rPr>
          <w:rFonts w:ascii="仿宋_GB2312" w:eastAsia="仿宋_GB2312" w:hAnsi="仿宋_GB2312" w:cs="仿宋_GB2312" w:hint="eastAsia"/>
          <w:sz w:val="32"/>
          <w:szCs w:val="32"/>
        </w:rPr>
        <w:t>。</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局域网络。采用星形网络拓扑结构，安装千兆交换机。网线与电源线隐蔽铺设。采用独立网络环境，不连</w:t>
      </w:r>
      <w:r>
        <w:rPr>
          <w:rFonts w:ascii="仿宋_GB2312" w:eastAsia="仿宋_GB2312" w:hAnsi="仿宋_GB2312" w:cs="仿宋_GB2312"/>
          <w:sz w:val="32"/>
          <w:szCs w:val="32"/>
        </w:rPr>
        <w:t>INTERNET</w:t>
      </w:r>
      <w:r>
        <w:rPr>
          <w:rFonts w:ascii="仿宋_GB2312" w:eastAsia="仿宋_GB2312" w:hAnsi="仿宋_GB2312" w:cs="仿宋_GB2312" w:hint="eastAsia"/>
          <w:sz w:val="32"/>
          <w:szCs w:val="32"/>
        </w:rPr>
        <w:t>，禁止外部电脑接入。</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安全保障。采用统一的杀毒软件对服务器进行防毒保护。屏蔽竞赛现场使用的电脑</w:t>
      </w:r>
      <w:r>
        <w:rPr>
          <w:rFonts w:ascii="仿宋_GB2312" w:eastAsia="仿宋_GB2312" w:hAnsi="仿宋_GB2312" w:cs="仿宋_GB2312"/>
          <w:sz w:val="32"/>
          <w:szCs w:val="32"/>
        </w:rPr>
        <w:t>USB</w:t>
      </w:r>
      <w:r>
        <w:rPr>
          <w:rFonts w:ascii="仿宋_GB2312" w:eastAsia="仿宋_GB2312" w:hAnsi="仿宋_GB2312" w:cs="仿宋_GB2312" w:hint="eastAsia"/>
          <w:sz w:val="32"/>
          <w:szCs w:val="32"/>
        </w:rPr>
        <w:t>接口。部署具有网络管理、账号管理和日志管理功能的综合监控系统。</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采用双路供电，利用</w:t>
      </w:r>
      <w:r>
        <w:rPr>
          <w:rFonts w:ascii="仿宋_GB2312" w:eastAsia="仿宋_GB2312" w:hAnsi="仿宋_GB2312" w:cs="仿宋_GB2312"/>
          <w:sz w:val="32"/>
          <w:szCs w:val="32"/>
        </w:rPr>
        <w:t>UPS</w:t>
      </w:r>
      <w:r>
        <w:rPr>
          <w:rFonts w:ascii="仿宋_GB2312" w:eastAsia="仿宋_GB2312" w:hAnsi="仿宋_GB2312" w:cs="仿宋_GB2312" w:hint="eastAsia"/>
          <w:sz w:val="32"/>
          <w:szCs w:val="32"/>
        </w:rPr>
        <w:t>防止现场因突然断电导致的系统数据丢失，额定功率：</w:t>
      </w:r>
      <w:r>
        <w:rPr>
          <w:rFonts w:ascii="仿宋_GB2312" w:eastAsia="仿宋_GB2312" w:hAnsi="仿宋_GB2312" w:cs="仿宋_GB2312"/>
          <w:sz w:val="32"/>
          <w:szCs w:val="32"/>
        </w:rPr>
        <w:t>3KVA</w:t>
      </w:r>
      <w:r>
        <w:rPr>
          <w:rFonts w:ascii="仿宋_GB2312" w:eastAsia="仿宋_GB2312" w:hAnsi="仿宋_GB2312" w:cs="仿宋_GB2312" w:hint="eastAsia"/>
          <w:sz w:val="32"/>
          <w:szCs w:val="32"/>
        </w:rPr>
        <w:t>，后备时间：</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小时，电池类型：输出电压：</w:t>
      </w:r>
      <w:r>
        <w:rPr>
          <w:rFonts w:ascii="仿宋_GB2312" w:eastAsia="仿宋_GB2312" w:hAnsi="仿宋_GB2312" w:cs="仿宋_GB2312"/>
          <w:sz w:val="32"/>
          <w:szCs w:val="32"/>
        </w:rPr>
        <w:t>230V</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5%V</w:t>
      </w:r>
      <w:r>
        <w:rPr>
          <w:rFonts w:ascii="仿宋_GB2312" w:eastAsia="仿宋_GB2312" w:hAnsi="仿宋_GB2312" w:cs="仿宋_GB2312" w:hint="eastAsia"/>
          <w:sz w:val="32"/>
          <w:szCs w:val="32"/>
        </w:rPr>
        <w:t>。</w:t>
      </w:r>
    </w:p>
    <w:p w:rsidR="00F715EC" w:rsidRDefault="00F715EC">
      <w:pPr>
        <w:widowControl w:val="0"/>
        <w:adjustRightInd/>
        <w:snapToGrid/>
        <w:spacing w:after="0" w:line="600" w:lineRule="exact"/>
        <w:ind w:firstLineChars="200" w:firstLine="640"/>
        <w:rPr>
          <w:rFonts w:ascii="楷体" w:eastAsia="楷体" w:hAnsi="楷体"/>
          <w:kern w:val="2"/>
          <w:sz w:val="32"/>
          <w:szCs w:val="32"/>
        </w:rPr>
      </w:pPr>
      <w:r>
        <w:rPr>
          <w:rFonts w:ascii="楷体" w:eastAsia="楷体" w:hAnsi="楷体" w:hint="eastAsia"/>
          <w:kern w:val="2"/>
          <w:sz w:val="32"/>
          <w:szCs w:val="32"/>
        </w:rPr>
        <w:t>（三）汇报场地</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汇报室配备多媒体设备及录音录像设备。</w:t>
      </w:r>
    </w:p>
    <w:p w:rsidR="00F715EC" w:rsidRDefault="00F715EC">
      <w:pPr>
        <w:pStyle w:val="1"/>
        <w:spacing w:before="120" w:after="120"/>
        <w:ind w:firstLineChars="200" w:firstLine="643"/>
        <w:rPr>
          <w:b/>
          <w:sz w:val="32"/>
          <w:szCs w:val="32"/>
        </w:rPr>
      </w:pPr>
      <w:r>
        <w:rPr>
          <w:rFonts w:hint="eastAsia"/>
          <w:b/>
          <w:sz w:val="32"/>
          <w:szCs w:val="32"/>
        </w:rPr>
        <w:t>九、技术规范</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以市场营销学为核心，考核市场营销人才应具备的管理学、微观经济学、消费心理学、营销策划、财务管理等基础知识。</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教学标准：《高等职业学校市场营销专业教学标准》（试行）</w:t>
      </w:r>
    </w:p>
    <w:p w:rsidR="00F715EC" w:rsidRDefault="00F715EC">
      <w:pPr>
        <w:pStyle w:val="1"/>
        <w:spacing w:before="120" w:after="120"/>
        <w:ind w:firstLineChars="150" w:firstLine="482"/>
        <w:rPr>
          <w:b/>
          <w:sz w:val="32"/>
          <w:szCs w:val="32"/>
        </w:rPr>
      </w:pPr>
      <w:r>
        <w:rPr>
          <w:rFonts w:hint="eastAsia"/>
          <w:b/>
          <w:sz w:val="32"/>
          <w:szCs w:val="32"/>
        </w:rPr>
        <w:t>十、技术平台</w:t>
      </w:r>
    </w:p>
    <w:p w:rsidR="00F715EC" w:rsidRDefault="00F715EC">
      <w:pPr>
        <w:spacing w:line="560" w:lineRule="exact"/>
        <w:jc w:val="center"/>
        <w:rPr>
          <w:rFonts w:ascii="仿宋_GB2312" w:eastAsia="仿宋_GB2312"/>
          <w:sz w:val="24"/>
          <w:szCs w:val="24"/>
        </w:rPr>
      </w:pPr>
      <w:r>
        <w:rPr>
          <w:rFonts w:ascii="仿宋_GB2312" w:eastAsia="仿宋_GB2312" w:hint="eastAsia"/>
          <w:sz w:val="24"/>
        </w:rPr>
        <w:t>表</w:t>
      </w:r>
      <w:r>
        <w:rPr>
          <w:rFonts w:ascii="仿宋_GB2312" w:eastAsia="仿宋_GB2312"/>
          <w:sz w:val="24"/>
        </w:rPr>
        <w:t>5</w:t>
      </w:r>
      <w:r>
        <w:rPr>
          <w:rFonts w:ascii="仿宋_GB2312" w:eastAsia="仿宋_GB2312" w:hint="eastAsia"/>
          <w:sz w:val="24"/>
        </w:rPr>
        <w:t>竞赛技术平台软硬件信息</w:t>
      </w:r>
    </w:p>
    <w:tbl>
      <w:tblPr>
        <w:tblW w:w="83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2015"/>
        <w:gridCol w:w="6355"/>
      </w:tblGrid>
      <w:tr w:rsidR="00F715EC">
        <w:trPr>
          <w:trHeight w:val="492"/>
          <w:jc w:val="center"/>
        </w:trPr>
        <w:tc>
          <w:tcPr>
            <w:tcW w:w="2015" w:type="dxa"/>
            <w:vAlign w:val="center"/>
          </w:tcPr>
          <w:p w:rsidR="00F715EC" w:rsidRDefault="00F715EC">
            <w:pPr>
              <w:widowControl w:val="0"/>
              <w:jc w:val="center"/>
              <w:rPr>
                <w:rFonts w:ascii="仿宋_GB2312" w:eastAsia="仿宋_GB2312" w:hAnsi="Times New Roman"/>
                <w:b/>
                <w:kern w:val="2"/>
                <w:sz w:val="24"/>
                <w:szCs w:val="24"/>
              </w:rPr>
            </w:pPr>
            <w:r>
              <w:rPr>
                <w:rFonts w:ascii="仿宋_GB2312" w:eastAsia="仿宋_GB2312" w:hint="eastAsia"/>
                <w:b/>
                <w:sz w:val="24"/>
              </w:rPr>
              <w:t>品名</w:t>
            </w:r>
          </w:p>
        </w:tc>
        <w:tc>
          <w:tcPr>
            <w:tcW w:w="6355" w:type="dxa"/>
            <w:vAlign w:val="center"/>
          </w:tcPr>
          <w:p w:rsidR="00F715EC" w:rsidRDefault="00F715EC">
            <w:pPr>
              <w:widowControl w:val="0"/>
              <w:jc w:val="center"/>
              <w:rPr>
                <w:rFonts w:ascii="仿宋_GB2312" w:eastAsia="仿宋_GB2312" w:hAnsi="Times New Roman"/>
                <w:b/>
                <w:kern w:val="2"/>
                <w:sz w:val="24"/>
                <w:szCs w:val="24"/>
              </w:rPr>
            </w:pPr>
            <w:r>
              <w:rPr>
                <w:rFonts w:ascii="仿宋_GB2312" w:eastAsia="仿宋_GB2312" w:hint="eastAsia"/>
                <w:b/>
                <w:sz w:val="24"/>
              </w:rPr>
              <w:t>规格要求说明</w:t>
            </w:r>
          </w:p>
        </w:tc>
      </w:tr>
      <w:tr w:rsidR="00F715EC">
        <w:trPr>
          <w:trHeight w:val="427"/>
          <w:jc w:val="center"/>
        </w:trPr>
        <w:tc>
          <w:tcPr>
            <w:tcW w:w="2015" w:type="dxa"/>
            <w:vAlign w:val="center"/>
          </w:tcPr>
          <w:p w:rsidR="00F715EC" w:rsidRDefault="00F715EC">
            <w:pPr>
              <w:widowControl w:val="0"/>
              <w:rPr>
                <w:rFonts w:ascii="仿宋_GB2312" w:eastAsia="仿宋_GB2312" w:hAnsi="Times New Roman"/>
                <w:kern w:val="2"/>
                <w:sz w:val="24"/>
                <w:szCs w:val="24"/>
              </w:rPr>
            </w:pPr>
            <w:r>
              <w:rPr>
                <w:rFonts w:ascii="仿宋_GB2312" w:eastAsia="仿宋_GB2312" w:hint="eastAsia"/>
                <w:sz w:val="24"/>
              </w:rPr>
              <w:t>竞赛技术平台</w:t>
            </w:r>
          </w:p>
        </w:tc>
        <w:tc>
          <w:tcPr>
            <w:tcW w:w="6355" w:type="dxa"/>
            <w:vAlign w:val="center"/>
          </w:tcPr>
          <w:p w:rsidR="00F715EC" w:rsidRDefault="00F715EC">
            <w:pPr>
              <w:widowControl w:val="0"/>
              <w:rPr>
                <w:rFonts w:ascii="仿宋_GB2312" w:eastAsia="仿宋_GB2312" w:hAnsi="Times New Roman"/>
                <w:kern w:val="2"/>
                <w:sz w:val="24"/>
                <w:szCs w:val="24"/>
              </w:rPr>
            </w:pPr>
            <w:r>
              <w:rPr>
                <w:rFonts w:ascii="仿宋_GB2312" w:eastAsia="仿宋_GB2312" w:hint="eastAsia"/>
                <w:sz w:val="24"/>
              </w:rPr>
              <w:t>市场营销综合实训与竞赛系统</w:t>
            </w:r>
          </w:p>
        </w:tc>
      </w:tr>
      <w:tr w:rsidR="00F715EC">
        <w:trPr>
          <w:trHeight w:val="444"/>
          <w:jc w:val="center"/>
        </w:trPr>
        <w:tc>
          <w:tcPr>
            <w:tcW w:w="2015" w:type="dxa"/>
            <w:vAlign w:val="center"/>
          </w:tcPr>
          <w:p w:rsidR="00F715EC" w:rsidRDefault="00F715EC">
            <w:pPr>
              <w:widowControl w:val="0"/>
              <w:rPr>
                <w:rFonts w:ascii="仿宋_GB2312" w:eastAsia="仿宋_GB2312" w:hAnsi="Times New Roman"/>
                <w:kern w:val="2"/>
                <w:sz w:val="24"/>
                <w:szCs w:val="24"/>
              </w:rPr>
            </w:pPr>
            <w:r>
              <w:rPr>
                <w:rFonts w:ascii="仿宋_GB2312" w:eastAsia="仿宋_GB2312" w:hint="eastAsia"/>
                <w:sz w:val="24"/>
              </w:rPr>
              <w:t>竞赛服务器</w:t>
            </w:r>
          </w:p>
        </w:tc>
        <w:tc>
          <w:tcPr>
            <w:tcW w:w="6355" w:type="dxa"/>
            <w:vAlign w:val="center"/>
          </w:tcPr>
          <w:p w:rsidR="00F715EC" w:rsidRDefault="00F715EC">
            <w:pPr>
              <w:widowControl w:val="0"/>
              <w:rPr>
                <w:rFonts w:ascii="仿宋_GB2312" w:eastAsia="仿宋_GB2312" w:hAnsi="Times New Roman"/>
                <w:kern w:val="2"/>
                <w:sz w:val="24"/>
                <w:szCs w:val="24"/>
              </w:rPr>
            </w:pPr>
            <w:r>
              <w:rPr>
                <w:rFonts w:ascii="仿宋_GB2312" w:eastAsia="仿宋_GB2312"/>
                <w:sz w:val="24"/>
              </w:rPr>
              <w:t>CPU</w:t>
            </w:r>
            <w:r>
              <w:rPr>
                <w:rFonts w:ascii="仿宋_GB2312" w:eastAsia="仿宋_GB2312" w:hint="eastAsia"/>
                <w:sz w:val="24"/>
              </w:rPr>
              <w:t>：</w:t>
            </w:r>
            <w:r>
              <w:rPr>
                <w:rFonts w:ascii="仿宋_GB2312" w:eastAsia="仿宋_GB2312"/>
                <w:sz w:val="24"/>
              </w:rPr>
              <w:t>2</w:t>
            </w:r>
            <w:r>
              <w:rPr>
                <w:rFonts w:ascii="仿宋_GB2312" w:eastAsia="仿宋_GB2312" w:hint="eastAsia"/>
                <w:sz w:val="24"/>
              </w:rPr>
              <w:t>颗</w:t>
            </w:r>
            <w:r>
              <w:rPr>
                <w:rFonts w:ascii="仿宋_GB2312" w:eastAsia="仿宋_GB2312"/>
                <w:sz w:val="24"/>
              </w:rPr>
              <w:t>Quad Core(</w:t>
            </w:r>
            <w:r>
              <w:rPr>
                <w:rFonts w:ascii="仿宋_GB2312" w:eastAsia="仿宋_GB2312" w:hint="eastAsia"/>
                <w:sz w:val="24"/>
              </w:rPr>
              <w:t>四核</w:t>
            </w:r>
            <w:r>
              <w:rPr>
                <w:rFonts w:ascii="仿宋_GB2312" w:eastAsia="仿宋_GB2312"/>
                <w:sz w:val="24"/>
              </w:rPr>
              <w:t xml:space="preserve">) </w:t>
            </w:r>
            <w:smartTag w:uri="urn:schemas-microsoft-com:office:smarttags" w:element="chmetcnv">
              <w:smartTagPr>
                <w:attr w:name="TCSC" w:val="0"/>
                <w:attr w:name="NumberType" w:val="1"/>
                <w:attr w:name="Negative" w:val="False"/>
                <w:attr w:name="HasSpace" w:val="False"/>
                <w:attr w:name="SourceValue" w:val="2"/>
                <w:attr w:name="UnitName" w:val="g"/>
              </w:smartTagPr>
              <w:r>
                <w:rPr>
                  <w:rFonts w:ascii="仿宋_GB2312" w:eastAsia="仿宋_GB2312"/>
                  <w:sz w:val="24"/>
                </w:rPr>
                <w:t>2.0G</w:t>
              </w:r>
            </w:smartTag>
            <w:r>
              <w:rPr>
                <w:rFonts w:ascii="仿宋_GB2312" w:eastAsia="仿宋_GB2312" w:hint="eastAsia"/>
                <w:sz w:val="24"/>
              </w:rPr>
              <w:t>以上；内存：</w:t>
            </w:r>
            <w:r>
              <w:rPr>
                <w:rFonts w:ascii="仿宋_GB2312" w:eastAsia="仿宋_GB2312"/>
                <w:sz w:val="24"/>
              </w:rPr>
              <w:t>8GB</w:t>
            </w:r>
            <w:r>
              <w:rPr>
                <w:rFonts w:ascii="仿宋_GB2312" w:eastAsia="仿宋_GB2312" w:hint="eastAsia"/>
                <w:sz w:val="24"/>
              </w:rPr>
              <w:t>以上；硬盘：</w:t>
            </w:r>
            <w:smartTag w:uri="urn:schemas-microsoft-com:office:smarttags" w:element="chmetcnv">
              <w:smartTagPr>
                <w:attr w:name="TCSC" w:val="0"/>
                <w:attr w:name="NumberType" w:val="1"/>
                <w:attr w:name="Negative" w:val="False"/>
                <w:attr w:name="HasSpace" w:val="False"/>
                <w:attr w:name="SourceValue" w:val="500"/>
                <w:attr w:name="UnitName" w:val="g"/>
              </w:smartTagPr>
              <w:r>
                <w:rPr>
                  <w:rFonts w:ascii="仿宋_GB2312" w:eastAsia="仿宋_GB2312"/>
                  <w:sz w:val="24"/>
                </w:rPr>
                <w:t>500G</w:t>
              </w:r>
            </w:smartTag>
            <w:r>
              <w:rPr>
                <w:rFonts w:ascii="仿宋_GB2312" w:eastAsia="仿宋_GB2312" w:hint="eastAsia"/>
                <w:sz w:val="24"/>
              </w:rPr>
              <w:t>以上；网卡：千兆网卡；操作系统：</w:t>
            </w:r>
            <w:r>
              <w:rPr>
                <w:rFonts w:ascii="仿宋_GB2312" w:eastAsia="仿宋_GB2312"/>
                <w:sz w:val="24"/>
              </w:rPr>
              <w:t>Windows 2008 Server Enterprise</w:t>
            </w:r>
            <w:r>
              <w:rPr>
                <w:rFonts w:ascii="仿宋_GB2312" w:eastAsia="仿宋_GB2312" w:hint="eastAsia"/>
                <w:sz w:val="24"/>
              </w:rPr>
              <w:t>，安装</w:t>
            </w:r>
            <w:r>
              <w:rPr>
                <w:rFonts w:ascii="仿宋_GB2312" w:eastAsia="仿宋_GB2312"/>
                <w:sz w:val="24"/>
              </w:rPr>
              <w:t>IIS 7.0</w:t>
            </w:r>
            <w:r>
              <w:rPr>
                <w:rFonts w:ascii="仿宋_GB2312" w:eastAsia="仿宋_GB2312" w:hint="eastAsia"/>
                <w:sz w:val="24"/>
              </w:rPr>
              <w:t>；数据库：</w:t>
            </w:r>
            <w:r>
              <w:rPr>
                <w:rFonts w:ascii="仿宋_GB2312" w:eastAsia="仿宋_GB2312"/>
                <w:sz w:val="24"/>
              </w:rPr>
              <w:t>Microsoft SQL Server 2005</w:t>
            </w:r>
            <w:r>
              <w:rPr>
                <w:rFonts w:ascii="仿宋_GB2312" w:eastAsia="仿宋_GB2312" w:hint="eastAsia"/>
                <w:sz w:val="24"/>
              </w:rPr>
              <w:t>企业版。</w:t>
            </w:r>
          </w:p>
        </w:tc>
      </w:tr>
      <w:tr w:rsidR="00F715EC">
        <w:trPr>
          <w:trHeight w:val="656"/>
          <w:jc w:val="center"/>
        </w:trPr>
        <w:tc>
          <w:tcPr>
            <w:tcW w:w="2015" w:type="dxa"/>
            <w:vAlign w:val="center"/>
          </w:tcPr>
          <w:p w:rsidR="00F715EC" w:rsidRDefault="00F715EC">
            <w:pPr>
              <w:widowControl w:val="0"/>
              <w:rPr>
                <w:rFonts w:ascii="仿宋_GB2312" w:eastAsia="仿宋_GB2312" w:hAnsi="Times New Roman"/>
                <w:kern w:val="2"/>
                <w:sz w:val="24"/>
                <w:szCs w:val="24"/>
              </w:rPr>
            </w:pPr>
            <w:r>
              <w:rPr>
                <w:rFonts w:ascii="仿宋_GB2312" w:eastAsia="仿宋_GB2312" w:hint="eastAsia"/>
                <w:sz w:val="24"/>
              </w:rPr>
              <w:t>参赛选手计算机</w:t>
            </w:r>
          </w:p>
        </w:tc>
        <w:tc>
          <w:tcPr>
            <w:tcW w:w="6355" w:type="dxa"/>
          </w:tcPr>
          <w:p w:rsidR="00F715EC" w:rsidRDefault="00F715EC">
            <w:pPr>
              <w:widowControl w:val="0"/>
              <w:rPr>
                <w:rFonts w:ascii="仿宋_GB2312" w:eastAsia="仿宋_GB2312" w:hAnsi="Times New Roman"/>
                <w:kern w:val="2"/>
                <w:sz w:val="24"/>
                <w:szCs w:val="24"/>
              </w:rPr>
            </w:pPr>
            <w:r>
              <w:rPr>
                <w:rFonts w:ascii="仿宋_GB2312" w:eastAsia="仿宋_GB2312"/>
                <w:sz w:val="24"/>
              </w:rPr>
              <w:t>CPU</w:t>
            </w:r>
            <w:r>
              <w:rPr>
                <w:rFonts w:ascii="仿宋_GB2312" w:eastAsia="仿宋_GB2312" w:hint="eastAsia"/>
                <w:sz w:val="24"/>
              </w:rPr>
              <w:t>：酷睿</w:t>
            </w:r>
            <w:r>
              <w:rPr>
                <w:rFonts w:ascii="仿宋_GB2312" w:eastAsia="仿宋_GB2312"/>
                <w:sz w:val="24"/>
              </w:rPr>
              <w:t xml:space="preserve">I5 </w:t>
            </w:r>
            <w:r>
              <w:rPr>
                <w:rFonts w:ascii="仿宋_GB2312" w:eastAsia="仿宋_GB2312" w:hint="eastAsia"/>
                <w:sz w:val="24"/>
              </w:rPr>
              <w:t>双核</w:t>
            </w:r>
            <w:r>
              <w:rPr>
                <w:rFonts w:ascii="仿宋_GB2312" w:eastAsia="仿宋_GB2312"/>
                <w:sz w:val="24"/>
              </w:rPr>
              <w:t>3.0</w:t>
            </w:r>
            <w:r>
              <w:rPr>
                <w:rFonts w:ascii="仿宋_GB2312" w:eastAsia="仿宋_GB2312" w:hint="eastAsia"/>
                <w:sz w:val="24"/>
              </w:rPr>
              <w:t>以上；内存：</w:t>
            </w:r>
            <w:smartTag w:uri="urn:schemas-microsoft-com:office:smarttags" w:element="chmetcnv">
              <w:smartTagPr>
                <w:attr w:name="TCSC" w:val="0"/>
                <w:attr w:name="NumberType" w:val="1"/>
                <w:attr w:name="Negative" w:val="False"/>
                <w:attr w:name="HasSpace" w:val="False"/>
                <w:attr w:name="SourceValue" w:val="4"/>
                <w:attr w:name="UnitName" w:val="g"/>
              </w:smartTagPr>
              <w:r>
                <w:rPr>
                  <w:rFonts w:ascii="仿宋_GB2312" w:eastAsia="仿宋_GB2312"/>
                  <w:sz w:val="24"/>
                </w:rPr>
                <w:t>4G</w:t>
              </w:r>
            </w:smartTag>
            <w:r>
              <w:rPr>
                <w:rFonts w:ascii="仿宋_GB2312" w:eastAsia="仿宋_GB2312" w:hint="eastAsia"/>
                <w:sz w:val="24"/>
              </w:rPr>
              <w:t>以上；硬盘：</w:t>
            </w:r>
            <w:smartTag w:uri="urn:schemas-microsoft-com:office:smarttags" w:element="chmetcnv">
              <w:smartTagPr>
                <w:attr w:name="TCSC" w:val="0"/>
                <w:attr w:name="NumberType" w:val="1"/>
                <w:attr w:name="Negative" w:val="False"/>
                <w:attr w:name="HasSpace" w:val="False"/>
                <w:attr w:name="SourceValue" w:val="500"/>
                <w:attr w:name="UnitName" w:val="g"/>
              </w:smartTagPr>
              <w:r>
                <w:rPr>
                  <w:rFonts w:ascii="仿宋_GB2312" w:eastAsia="仿宋_GB2312"/>
                  <w:sz w:val="24"/>
                </w:rPr>
                <w:t>500G</w:t>
              </w:r>
            </w:smartTag>
            <w:r>
              <w:rPr>
                <w:rFonts w:ascii="仿宋_GB2312" w:eastAsia="仿宋_GB2312" w:hint="eastAsia"/>
                <w:sz w:val="24"/>
              </w:rPr>
              <w:t>以上；网卡：千兆网卡；操作系统：</w:t>
            </w:r>
            <w:r>
              <w:rPr>
                <w:rFonts w:ascii="仿宋_GB2312" w:eastAsia="仿宋_GB2312"/>
                <w:sz w:val="24"/>
              </w:rPr>
              <w:t>Microsoft Windows7</w:t>
            </w:r>
            <w:r>
              <w:rPr>
                <w:rFonts w:ascii="仿宋_GB2312" w:eastAsia="仿宋_GB2312" w:hint="eastAsia"/>
                <w:sz w:val="24"/>
              </w:rPr>
              <w:t>操作系统，</w:t>
            </w:r>
            <w:r>
              <w:rPr>
                <w:rFonts w:ascii="仿宋_GB2312" w:eastAsia="仿宋_GB2312"/>
                <w:sz w:val="24"/>
              </w:rPr>
              <w:t>office 2010, Internet Explorer8.0</w:t>
            </w:r>
            <w:r>
              <w:rPr>
                <w:rFonts w:ascii="仿宋_GB2312" w:eastAsia="仿宋_GB2312" w:hint="eastAsia"/>
                <w:sz w:val="24"/>
              </w:rPr>
              <w:t>、</w:t>
            </w:r>
            <w:r>
              <w:rPr>
                <w:rFonts w:ascii="仿宋_GB2312" w:eastAsia="仿宋_GB2312"/>
                <w:sz w:val="24"/>
              </w:rPr>
              <w:t>Firefox</w:t>
            </w:r>
            <w:r>
              <w:rPr>
                <w:rFonts w:ascii="仿宋_GB2312" w:eastAsia="仿宋_GB2312" w:hint="eastAsia"/>
                <w:sz w:val="24"/>
              </w:rPr>
              <w:t>浏览器，预装</w:t>
            </w:r>
            <w:r>
              <w:rPr>
                <w:rFonts w:ascii="仿宋_GB2312" w:eastAsia="仿宋_GB2312"/>
                <w:sz w:val="24"/>
              </w:rPr>
              <w:t>qq</w:t>
            </w:r>
            <w:r>
              <w:rPr>
                <w:rFonts w:ascii="仿宋_GB2312" w:eastAsia="仿宋_GB2312" w:hint="eastAsia"/>
                <w:sz w:val="24"/>
              </w:rPr>
              <w:t>拼音、搜狗拼音、五笔、微软拼音等中文输入法和英文输入法，屏蔽</w:t>
            </w:r>
            <w:r>
              <w:rPr>
                <w:rFonts w:ascii="仿宋_GB2312" w:eastAsia="仿宋_GB2312"/>
                <w:sz w:val="24"/>
              </w:rPr>
              <w:t>usb</w:t>
            </w:r>
            <w:r>
              <w:rPr>
                <w:rFonts w:ascii="仿宋_GB2312" w:eastAsia="仿宋_GB2312" w:hint="eastAsia"/>
                <w:sz w:val="24"/>
              </w:rPr>
              <w:t>等外接存储设备接口。</w:t>
            </w:r>
          </w:p>
        </w:tc>
      </w:tr>
      <w:tr w:rsidR="00F715EC">
        <w:trPr>
          <w:trHeight w:val="269"/>
          <w:jc w:val="center"/>
        </w:trPr>
        <w:tc>
          <w:tcPr>
            <w:tcW w:w="2015" w:type="dxa"/>
            <w:vAlign w:val="center"/>
          </w:tcPr>
          <w:p w:rsidR="00F715EC" w:rsidRDefault="00F715EC">
            <w:pPr>
              <w:widowControl w:val="0"/>
              <w:rPr>
                <w:rFonts w:ascii="仿宋_GB2312" w:eastAsia="仿宋_GB2312" w:hAnsi="Times New Roman"/>
                <w:kern w:val="2"/>
                <w:sz w:val="24"/>
                <w:szCs w:val="24"/>
              </w:rPr>
            </w:pPr>
            <w:r>
              <w:rPr>
                <w:rFonts w:ascii="仿宋_GB2312" w:eastAsia="仿宋_GB2312" w:hint="eastAsia"/>
                <w:sz w:val="24"/>
              </w:rPr>
              <w:t>网络连接设备</w:t>
            </w:r>
          </w:p>
        </w:tc>
        <w:tc>
          <w:tcPr>
            <w:tcW w:w="6355" w:type="dxa"/>
            <w:vAlign w:val="center"/>
          </w:tcPr>
          <w:p w:rsidR="00F715EC" w:rsidRDefault="00F715EC">
            <w:pPr>
              <w:widowControl w:val="0"/>
              <w:rPr>
                <w:rFonts w:ascii="仿宋_GB2312" w:eastAsia="仿宋_GB2312" w:hAnsi="Times New Roman"/>
                <w:kern w:val="2"/>
                <w:sz w:val="24"/>
                <w:szCs w:val="24"/>
              </w:rPr>
            </w:pPr>
            <w:r>
              <w:rPr>
                <w:rFonts w:ascii="仿宋_GB2312" w:eastAsia="仿宋_GB2312" w:hint="eastAsia"/>
                <w:sz w:val="24"/>
              </w:rPr>
              <w:t>提供网络布线、交换机。</w:t>
            </w:r>
          </w:p>
        </w:tc>
      </w:tr>
    </w:tbl>
    <w:p w:rsidR="00F715EC" w:rsidRDefault="00F715EC">
      <w:pPr>
        <w:pStyle w:val="1"/>
        <w:spacing w:before="120" w:after="120"/>
        <w:ind w:firstLineChars="200" w:firstLine="643"/>
        <w:rPr>
          <w:b/>
          <w:sz w:val="32"/>
          <w:szCs w:val="32"/>
        </w:rPr>
      </w:pPr>
      <w:r>
        <w:rPr>
          <w:rFonts w:hint="eastAsia"/>
          <w:b/>
          <w:sz w:val="32"/>
          <w:szCs w:val="32"/>
        </w:rPr>
        <w:t>十一、成绩评定</w:t>
      </w:r>
    </w:p>
    <w:p w:rsidR="00F715EC" w:rsidRDefault="00F715EC">
      <w:pPr>
        <w:widowControl w:val="0"/>
        <w:adjustRightInd/>
        <w:snapToGrid/>
        <w:spacing w:after="0" w:line="600" w:lineRule="exact"/>
        <w:ind w:firstLineChars="200" w:firstLine="640"/>
        <w:rPr>
          <w:rFonts w:ascii="楷体" w:eastAsia="楷体" w:hAnsi="楷体"/>
          <w:kern w:val="2"/>
          <w:sz w:val="32"/>
          <w:szCs w:val="32"/>
        </w:rPr>
      </w:pPr>
      <w:r>
        <w:rPr>
          <w:rFonts w:ascii="楷体" w:eastAsia="楷体" w:hAnsi="楷体" w:hint="eastAsia"/>
          <w:kern w:val="2"/>
          <w:sz w:val="32"/>
          <w:szCs w:val="32"/>
        </w:rPr>
        <w:t>（一）评分标准制定原则</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评分标准由赛项专家组制定，赛前公布。严格按照《全国职业院校技能大赛成绩管理办法》中规定的评分方法实施。</w:t>
      </w:r>
    </w:p>
    <w:p w:rsidR="00F715EC" w:rsidRDefault="00F715EC">
      <w:pPr>
        <w:widowControl w:val="0"/>
        <w:adjustRightInd/>
        <w:snapToGrid/>
        <w:spacing w:after="0" w:line="600" w:lineRule="exact"/>
        <w:ind w:firstLineChars="200" w:firstLine="640"/>
        <w:rPr>
          <w:rFonts w:ascii="楷体" w:eastAsia="楷体" w:hAnsi="楷体"/>
          <w:kern w:val="2"/>
          <w:sz w:val="32"/>
          <w:szCs w:val="32"/>
        </w:rPr>
      </w:pPr>
      <w:r>
        <w:rPr>
          <w:rFonts w:ascii="楷体" w:eastAsia="楷体" w:hAnsi="楷体" w:hint="eastAsia"/>
          <w:kern w:val="2"/>
          <w:sz w:val="32"/>
          <w:szCs w:val="32"/>
        </w:rPr>
        <w:t>（二）评分方法</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．评分方法：评分方式为机考评分与结果评分。</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机考评分由答题系统自动评分，裁判长实时汇总各赛位的成绩，经复核无误，由裁判长、监督人员和仲裁人员签字确认。</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结果评分由评分裁判依据评分标准判分。客观评分由两名评分裁判独立评分，客观评分不一致的须在计分前及时更正；主观评分由</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名评分裁判独立评分，去掉一个最高分和一个最低分后，其余得分的算术平均值作为参赛队伍的最后得分。两名记分员在监督人员的现场监督下负责计分。裁判长在竞赛结束后提交赛位评分结果，经复核无误，由裁判长、监督人员和仲裁人员签字确认后公布。</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在正式公布比赛成绩之前，任何人员不得随意泄露机考评分和结果评分的评分结果。</w:t>
      </w:r>
    </w:p>
    <w:p w:rsidR="00F715EC" w:rsidRDefault="00F715EC">
      <w:pPr>
        <w:spacing w:line="560" w:lineRule="exact"/>
        <w:jc w:val="center"/>
        <w:rPr>
          <w:rFonts w:eastAsia="仿宋_GB2312"/>
          <w:sz w:val="24"/>
          <w:szCs w:val="24"/>
        </w:rPr>
      </w:pPr>
      <w:r>
        <w:rPr>
          <w:rFonts w:eastAsia="仿宋_GB2312" w:hint="eastAsia"/>
          <w:sz w:val="24"/>
        </w:rPr>
        <w:t>表</w:t>
      </w:r>
      <w:r>
        <w:rPr>
          <w:rFonts w:eastAsia="仿宋_GB2312"/>
          <w:sz w:val="24"/>
        </w:rPr>
        <w:t xml:space="preserve">3 </w:t>
      </w:r>
      <w:r>
        <w:rPr>
          <w:rFonts w:eastAsia="仿宋_GB2312" w:hint="eastAsia"/>
          <w:sz w:val="24"/>
        </w:rPr>
        <w:t>评分方法</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7"/>
        <w:gridCol w:w="708"/>
        <w:gridCol w:w="2976"/>
        <w:gridCol w:w="1843"/>
        <w:gridCol w:w="1326"/>
      </w:tblGrid>
      <w:tr w:rsidR="00F715EC">
        <w:trPr>
          <w:trHeight w:val="461"/>
        </w:trPr>
        <w:tc>
          <w:tcPr>
            <w:tcW w:w="1667" w:type="dxa"/>
            <w:vAlign w:val="center"/>
          </w:tcPr>
          <w:p w:rsidR="00F715EC" w:rsidRDefault="00F715EC">
            <w:pPr>
              <w:widowControl w:val="0"/>
              <w:jc w:val="center"/>
              <w:rPr>
                <w:rFonts w:ascii="Times New Roman" w:eastAsia="仿宋_GB2312" w:hAnsi="Times New Roman"/>
                <w:b/>
                <w:kern w:val="2"/>
                <w:sz w:val="24"/>
                <w:szCs w:val="24"/>
              </w:rPr>
            </w:pPr>
            <w:r>
              <w:rPr>
                <w:rFonts w:eastAsia="仿宋_GB2312" w:hint="eastAsia"/>
                <w:b/>
                <w:sz w:val="24"/>
              </w:rPr>
              <w:t>比赛内容</w:t>
            </w:r>
          </w:p>
        </w:tc>
        <w:tc>
          <w:tcPr>
            <w:tcW w:w="708" w:type="dxa"/>
            <w:vAlign w:val="center"/>
          </w:tcPr>
          <w:p w:rsidR="00F715EC" w:rsidRDefault="00F715EC">
            <w:pPr>
              <w:widowControl w:val="0"/>
              <w:jc w:val="center"/>
              <w:rPr>
                <w:rFonts w:ascii="Times New Roman" w:eastAsia="仿宋_GB2312" w:hAnsi="Times New Roman"/>
                <w:b/>
                <w:kern w:val="2"/>
                <w:sz w:val="24"/>
                <w:szCs w:val="24"/>
              </w:rPr>
            </w:pPr>
            <w:r>
              <w:rPr>
                <w:rFonts w:eastAsia="仿宋_GB2312" w:hint="eastAsia"/>
                <w:b/>
                <w:sz w:val="24"/>
              </w:rPr>
              <w:t>分值</w:t>
            </w:r>
          </w:p>
        </w:tc>
        <w:tc>
          <w:tcPr>
            <w:tcW w:w="2976" w:type="dxa"/>
            <w:vAlign w:val="center"/>
          </w:tcPr>
          <w:p w:rsidR="00F715EC" w:rsidRDefault="00F715EC">
            <w:pPr>
              <w:widowControl w:val="0"/>
              <w:jc w:val="center"/>
              <w:rPr>
                <w:rFonts w:ascii="Times New Roman" w:eastAsia="仿宋_GB2312" w:hAnsi="Times New Roman"/>
                <w:b/>
                <w:kern w:val="2"/>
                <w:sz w:val="24"/>
                <w:szCs w:val="24"/>
              </w:rPr>
            </w:pPr>
            <w:r>
              <w:rPr>
                <w:rFonts w:eastAsia="仿宋_GB2312" w:hint="eastAsia"/>
                <w:b/>
                <w:sz w:val="24"/>
              </w:rPr>
              <w:t>评分方法</w:t>
            </w:r>
          </w:p>
        </w:tc>
        <w:tc>
          <w:tcPr>
            <w:tcW w:w="1843" w:type="dxa"/>
            <w:vAlign w:val="center"/>
          </w:tcPr>
          <w:p w:rsidR="00F715EC" w:rsidRDefault="00F715EC">
            <w:pPr>
              <w:widowControl w:val="0"/>
              <w:jc w:val="center"/>
              <w:rPr>
                <w:rFonts w:ascii="Times New Roman" w:eastAsia="仿宋_GB2312" w:hAnsi="Times New Roman"/>
                <w:b/>
                <w:kern w:val="2"/>
                <w:sz w:val="24"/>
                <w:szCs w:val="24"/>
              </w:rPr>
            </w:pPr>
            <w:r>
              <w:rPr>
                <w:rFonts w:eastAsia="仿宋_GB2312" w:hint="eastAsia"/>
                <w:b/>
                <w:sz w:val="24"/>
              </w:rPr>
              <w:t>审核方法</w:t>
            </w:r>
          </w:p>
        </w:tc>
        <w:tc>
          <w:tcPr>
            <w:tcW w:w="1326" w:type="dxa"/>
            <w:vAlign w:val="center"/>
          </w:tcPr>
          <w:p w:rsidR="00F715EC" w:rsidRDefault="00F715EC">
            <w:pPr>
              <w:widowControl w:val="0"/>
              <w:jc w:val="center"/>
              <w:rPr>
                <w:rFonts w:ascii="Times New Roman" w:eastAsia="仿宋_GB2312" w:hAnsi="Times New Roman"/>
                <w:b/>
                <w:kern w:val="2"/>
                <w:sz w:val="24"/>
                <w:szCs w:val="24"/>
              </w:rPr>
            </w:pPr>
            <w:r>
              <w:rPr>
                <w:rFonts w:eastAsia="仿宋_GB2312" w:hint="eastAsia"/>
                <w:b/>
                <w:sz w:val="24"/>
              </w:rPr>
              <w:t>公布方法</w:t>
            </w:r>
          </w:p>
        </w:tc>
      </w:tr>
      <w:tr w:rsidR="00F715EC">
        <w:trPr>
          <w:trHeight w:val="708"/>
        </w:trPr>
        <w:tc>
          <w:tcPr>
            <w:tcW w:w="1667" w:type="dxa"/>
            <w:vAlign w:val="center"/>
          </w:tcPr>
          <w:p w:rsidR="00F715EC" w:rsidRDefault="00F715EC">
            <w:pPr>
              <w:widowControl w:val="0"/>
              <w:jc w:val="center"/>
              <w:rPr>
                <w:rFonts w:ascii="Times New Roman" w:eastAsia="仿宋_GB2312" w:hAnsi="Times New Roman"/>
                <w:kern w:val="2"/>
                <w:sz w:val="24"/>
                <w:szCs w:val="24"/>
              </w:rPr>
            </w:pPr>
            <w:r>
              <w:rPr>
                <w:rFonts w:eastAsia="仿宋_GB2312" w:hint="eastAsia"/>
                <w:sz w:val="24"/>
              </w:rPr>
              <w:t>营销实战</w:t>
            </w:r>
          </w:p>
        </w:tc>
        <w:tc>
          <w:tcPr>
            <w:tcW w:w="708" w:type="dxa"/>
            <w:vAlign w:val="center"/>
          </w:tcPr>
          <w:p w:rsidR="00F715EC" w:rsidRDefault="00F715EC">
            <w:pPr>
              <w:widowControl w:val="0"/>
              <w:jc w:val="center"/>
              <w:rPr>
                <w:rFonts w:ascii="Times New Roman" w:eastAsia="仿宋_GB2312" w:hAnsi="Times New Roman"/>
                <w:kern w:val="2"/>
                <w:sz w:val="24"/>
                <w:szCs w:val="24"/>
              </w:rPr>
            </w:pPr>
            <w:r>
              <w:rPr>
                <w:rFonts w:eastAsia="仿宋_GB2312"/>
                <w:sz w:val="24"/>
              </w:rPr>
              <w:t>25</w:t>
            </w:r>
          </w:p>
        </w:tc>
        <w:tc>
          <w:tcPr>
            <w:tcW w:w="2976" w:type="dxa"/>
            <w:vAlign w:val="center"/>
          </w:tcPr>
          <w:p w:rsidR="00F715EC" w:rsidRDefault="00F715EC">
            <w:pPr>
              <w:widowControl w:val="0"/>
              <w:rPr>
                <w:rFonts w:ascii="Times New Roman" w:eastAsia="仿宋_GB2312" w:hAnsi="Times New Roman"/>
                <w:kern w:val="2"/>
                <w:sz w:val="24"/>
                <w:szCs w:val="24"/>
              </w:rPr>
            </w:pPr>
            <w:r>
              <w:rPr>
                <w:rFonts w:eastAsia="仿宋_GB2312" w:hint="eastAsia"/>
                <w:sz w:val="24"/>
              </w:rPr>
              <w:t>主观结果评分，由</w:t>
            </w:r>
            <w:r>
              <w:rPr>
                <w:rFonts w:eastAsia="仿宋_GB2312"/>
                <w:sz w:val="24"/>
              </w:rPr>
              <w:t>5</w:t>
            </w:r>
            <w:r>
              <w:rPr>
                <w:rFonts w:eastAsia="仿宋_GB2312" w:hint="eastAsia"/>
                <w:sz w:val="24"/>
              </w:rPr>
              <w:t>名评分裁判根据评分标准进行评分，去掉一个最高分和一个最低分后取平均值</w:t>
            </w:r>
          </w:p>
        </w:tc>
        <w:tc>
          <w:tcPr>
            <w:tcW w:w="1843" w:type="dxa"/>
            <w:vAlign w:val="center"/>
          </w:tcPr>
          <w:p w:rsidR="00F715EC" w:rsidRDefault="00F715EC">
            <w:pPr>
              <w:widowControl w:val="0"/>
              <w:rPr>
                <w:rFonts w:ascii="Times New Roman" w:eastAsia="仿宋_GB2312" w:hAnsi="Times New Roman"/>
                <w:kern w:val="2"/>
                <w:sz w:val="24"/>
                <w:szCs w:val="24"/>
              </w:rPr>
            </w:pPr>
            <w:r>
              <w:rPr>
                <w:rFonts w:eastAsia="仿宋_GB2312" w:hint="eastAsia"/>
                <w:sz w:val="24"/>
              </w:rPr>
              <w:t>评分裁判、监督、仲裁签字</w:t>
            </w:r>
          </w:p>
        </w:tc>
        <w:tc>
          <w:tcPr>
            <w:tcW w:w="1326" w:type="dxa"/>
            <w:vMerge w:val="restart"/>
            <w:vAlign w:val="center"/>
          </w:tcPr>
          <w:p w:rsidR="00F715EC" w:rsidRDefault="00F715EC">
            <w:pPr>
              <w:widowControl w:val="0"/>
              <w:jc w:val="center"/>
              <w:rPr>
                <w:rFonts w:ascii="Times New Roman" w:eastAsia="仿宋_GB2312" w:hAnsi="Times New Roman"/>
                <w:kern w:val="2"/>
                <w:sz w:val="24"/>
                <w:szCs w:val="24"/>
              </w:rPr>
            </w:pPr>
            <w:r>
              <w:rPr>
                <w:rFonts w:eastAsia="仿宋_GB2312" w:hint="eastAsia"/>
                <w:sz w:val="24"/>
              </w:rPr>
              <w:t>评分结果在所有比赛内容竞赛结束后，经复核无误并逐层解密后，张榜公布</w:t>
            </w:r>
          </w:p>
        </w:tc>
      </w:tr>
      <w:tr w:rsidR="00F715EC">
        <w:tc>
          <w:tcPr>
            <w:tcW w:w="1667" w:type="dxa"/>
            <w:vAlign w:val="center"/>
          </w:tcPr>
          <w:p w:rsidR="00F715EC" w:rsidRDefault="00F715EC">
            <w:pPr>
              <w:widowControl w:val="0"/>
              <w:jc w:val="center"/>
              <w:rPr>
                <w:rFonts w:ascii="Times New Roman" w:eastAsia="仿宋_GB2312" w:hAnsi="Times New Roman"/>
                <w:kern w:val="2"/>
                <w:sz w:val="24"/>
                <w:szCs w:val="24"/>
              </w:rPr>
            </w:pPr>
            <w:r>
              <w:rPr>
                <w:rFonts w:eastAsia="仿宋_GB2312" w:hint="eastAsia"/>
                <w:sz w:val="24"/>
              </w:rPr>
              <w:t>情境营销</w:t>
            </w:r>
          </w:p>
        </w:tc>
        <w:tc>
          <w:tcPr>
            <w:tcW w:w="708" w:type="dxa"/>
            <w:vAlign w:val="center"/>
          </w:tcPr>
          <w:p w:rsidR="00F715EC" w:rsidRDefault="00F715EC">
            <w:pPr>
              <w:widowControl w:val="0"/>
              <w:jc w:val="center"/>
              <w:rPr>
                <w:rFonts w:ascii="Times New Roman" w:eastAsia="仿宋_GB2312" w:hAnsi="Times New Roman"/>
                <w:kern w:val="2"/>
                <w:sz w:val="24"/>
                <w:szCs w:val="24"/>
              </w:rPr>
            </w:pPr>
            <w:r>
              <w:rPr>
                <w:rFonts w:eastAsia="仿宋_GB2312"/>
                <w:sz w:val="24"/>
              </w:rPr>
              <w:t>75</w:t>
            </w:r>
          </w:p>
        </w:tc>
        <w:tc>
          <w:tcPr>
            <w:tcW w:w="2976" w:type="dxa"/>
            <w:vAlign w:val="center"/>
          </w:tcPr>
          <w:p w:rsidR="00F715EC" w:rsidRDefault="00F715EC">
            <w:pPr>
              <w:widowControl w:val="0"/>
              <w:rPr>
                <w:rFonts w:ascii="Times New Roman" w:eastAsia="仿宋_GB2312" w:hAnsi="Times New Roman"/>
                <w:kern w:val="2"/>
                <w:sz w:val="24"/>
                <w:szCs w:val="24"/>
              </w:rPr>
            </w:pPr>
            <w:r>
              <w:rPr>
                <w:rFonts w:eastAsia="仿宋_GB2312" w:hint="eastAsia"/>
                <w:sz w:val="24"/>
              </w:rPr>
              <w:t>机考评分</w:t>
            </w:r>
          </w:p>
        </w:tc>
        <w:tc>
          <w:tcPr>
            <w:tcW w:w="1843" w:type="dxa"/>
            <w:vAlign w:val="center"/>
          </w:tcPr>
          <w:p w:rsidR="00F715EC" w:rsidRDefault="00F715EC">
            <w:pPr>
              <w:widowControl w:val="0"/>
              <w:rPr>
                <w:rFonts w:ascii="Times New Roman" w:eastAsia="仿宋_GB2312" w:hAnsi="Times New Roman"/>
                <w:kern w:val="2"/>
                <w:sz w:val="24"/>
                <w:szCs w:val="24"/>
              </w:rPr>
            </w:pPr>
            <w:r>
              <w:rPr>
                <w:rFonts w:eastAsia="仿宋_GB2312" w:hint="eastAsia"/>
                <w:sz w:val="24"/>
              </w:rPr>
              <w:t>参赛选手、现场裁判、裁判长、监督、仲裁签字</w:t>
            </w:r>
          </w:p>
        </w:tc>
        <w:tc>
          <w:tcPr>
            <w:tcW w:w="1326" w:type="dxa"/>
            <w:vMerge/>
            <w:vAlign w:val="center"/>
          </w:tcPr>
          <w:p w:rsidR="00F715EC" w:rsidRDefault="00F715EC">
            <w:pPr>
              <w:rPr>
                <w:rFonts w:ascii="Times New Roman" w:eastAsia="仿宋_GB2312" w:hAnsi="Times New Roman"/>
                <w:kern w:val="2"/>
                <w:sz w:val="24"/>
                <w:szCs w:val="24"/>
              </w:rPr>
            </w:pPr>
          </w:p>
        </w:tc>
      </w:tr>
    </w:tbl>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．成绩复核：为保障成绩评判的准确性，监督组将对赛项总成绩排名前</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的所有参赛队伍的成绩进行复核；对其余成绩进行抽检复核，抽检覆盖率不得低于</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。监督组需将复检中发现的错误以书面方式及时告知裁判长，由裁判长更正成绩并签字确认。复核、抽检错误率超过</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的，裁判组需对所有成绩进行复核。</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．解密：裁判长正式提交赛位评分结果并复核无误后，加密裁判在监督人员监督下对加密结果进行逐层解密。</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．赛项最终得分：按</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分制计分。最终成绩经复核无误，由裁判长、监督人员和仲裁人员签字确认后公布。</w:t>
      </w:r>
    </w:p>
    <w:p w:rsidR="00F715EC" w:rsidRDefault="00F715EC">
      <w:pPr>
        <w:widowControl w:val="0"/>
        <w:adjustRightInd/>
        <w:snapToGrid/>
        <w:spacing w:after="0" w:line="600" w:lineRule="exact"/>
        <w:ind w:firstLineChars="200" w:firstLine="640"/>
        <w:rPr>
          <w:rFonts w:ascii="楷体" w:eastAsia="楷体" w:hAnsi="楷体"/>
          <w:kern w:val="2"/>
          <w:sz w:val="32"/>
          <w:szCs w:val="32"/>
        </w:rPr>
      </w:pPr>
      <w:r>
        <w:rPr>
          <w:rFonts w:ascii="楷体" w:eastAsia="楷体" w:hAnsi="楷体" w:hint="eastAsia"/>
          <w:kern w:val="2"/>
          <w:sz w:val="32"/>
          <w:szCs w:val="32"/>
        </w:rPr>
        <w:t>（三）评分细则</w:t>
      </w:r>
    </w:p>
    <w:p w:rsidR="00F715EC" w:rsidRDefault="00F715EC">
      <w:pPr>
        <w:widowControl w:val="0"/>
        <w:adjustRightInd/>
        <w:snapToGrid/>
        <w:spacing w:after="0" w:line="600" w:lineRule="exact"/>
        <w:ind w:firstLineChars="200" w:firstLine="643"/>
        <w:rPr>
          <w:rFonts w:ascii="仿宋_GB2312" w:eastAsia="仿宋_GB2312" w:hAnsi="Calibri"/>
          <w:b/>
          <w:kern w:val="2"/>
          <w:sz w:val="32"/>
          <w:szCs w:val="32"/>
        </w:rPr>
      </w:pPr>
      <w:r>
        <w:rPr>
          <w:rFonts w:ascii="仿宋_GB2312" w:eastAsia="仿宋_GB2312" w:hAnsi="Calibri"/>
          <w:b/>
          <w:kern w:val="2"/>
          <w:sz w:val="32"/>
          <w:szCs w:val="32"/>
        </w:rPr>
        <w:t>1</w:t>
      </w:r>
      <w:r>
        <w:rPr>
          <w:rFonts w:ascii="仿宋_GB2312" w:eastAsia="仿宋_GB2312" w:hAnsi="Calibri" w:hint="eastAsia"/>
          <w:b/>
          <w:kern w:val="2"/>
          <w:sz w:val="32"/>
          <w:szCs w:val="32"/>
        </w:rPr>
        <w:t>．营销实战展示（共计</w:t>
      </w:r>
      <w:r>
        <w:rPr>
          <w:rFonts w:ascii="仿宋_GB2312" w:eastAsia="仿宋_GB2312" w:hAnsi="Calibri"/>
          <w:b/>
          <w:kern w:val="2"/>
          <w:sz w:val="32"/>
          <w:szCs w:val="32"/>
        </w:rPr>
        <w:t>25</w:t>
      </w:r>
      <w:r>
        <w:rPr>
          <w:rFonts w:ascii="仿宋_GB2312" w:eastAsia="仿宋_GB2312" w:hAnsi="Calibri" w:hint="eastAsia"/>
          <w:b/>
          <w:kern w:val="2"/>
          <w:sz w:val="32"/>
          <w:szCs w:val="32"/>
        </w:rPr>
        <w:t>分）</w:t>
      </w:r>
    </w:p>
    <w:p w:rsidR="00F715EC" w:rsidRDefault="00F715EC">
      <w:pPr>
        <w:spacing w:line="560" w:lineRule="exact"/>
        <w:jc w:val="center"/>
        <w:rPr>
          <w:rFonts w:eastAsia="仿宋_GB2312"/>
          <w:sz w:val="24"/>
          <w:szCs w:val="24"/>
        </w:rPr>
      </w:pPr>
      <w:r>
        <w:rPr>
          <w:rFonts w:eastAsia="仿宋_GB2312" w:hint="eastAsia"/>
          <w:sz w:val="24"/>
        </w:rPr>
        <w:t>表</w:t>
      </w:r>
      <w:r>
        <w:rPr>
          <w:rFonts w:eastAsia="仿宋_GB2312"/>
          <w:sz w:val="24"/>
        </w:rPr>
        <w:t xml:space="preserve">4 </w:t>
      </w:r>
      <w:r>
        <w:rPr>
          <w:rFonts w:eastAsia="仿宋_GB2312" w:hint="eastAsia"/>
          <w:sz w:val="24"/>
        </w:rPr>
        <w:t>营销实战展示模块评分标准</w:t>
      </w:r>
    </w:p>
    <w:tbl>
      <w:tblPr>
        <w:tblW w:w="8520" w:type="dxa"/>
        <w:jc w:val="center"/>
        <w:tblLayout w:type="fixed"/>
        <w:tblLook w:val="00A0"/>
      </w:tblPr>
      <w:tblGrid>
        <w:gridCol w:w="2659"/>
        <w:gridCol w:w="1330"/>
        <w:gridCol w:w="3205"/>
        <w:gridCol w:w="1326"/>
      </w:tblGrid>
      <w:tr w:rsidR="00F715EC">
        <w:trPr>
          <w:trHeight w:val="449"/>
          <w:jc w:val="center"/>
        </w:trPr>
        <w:tc>
          <w:tcPr>
            <w:tcW w:w="2659" w:type="dxa"/>
            <w:tcBorders>
              <w:top w:val="single" w:sz="4" w:space="0" w:color="000000"/>
              <w:left w:val="single" w:sz="4" w:space="0" w:color="000000"/>
              <w:bottom w:val="single" w:sz="4" w:space="0" w:color="auto"/>
              <w:right w:val="single" w:sz="4" w:space="0" w:color="000000"/>
            </w:tcBorders>
            <w:vAlign w:val="center"/>
          </w:tcPr>
          <w:p w:rsidR="00F715EC" w:rsidRDefault="00F715EC">
            <w:pPr>
              <w:jc w:val="center"/>
              <w:rPr>
                <w:rFonts w:ascii="Times New Roman" w:eastAsia="仿宋_GB2312" w:hAnsi="Times New Roman"/>
                <w:b/>
                <w:color w:val="000000"/>
                <w:kern w:val="2"/>
                <w:sz w:val="24"/>
                <w:szCs w:val="24"/>
              </w:rPr>
            </w:pPr>
            <w:r>
              <w:rPr>
                <w:rFonts w:eastAsia="仿宋_GB2312" w:hint="eastAsia"/>
                <w:b/>
                <w:color w:val="000000"/>
                <w:sz w:val="24"/>
              </w:rPr>
              <w:t>评分标准一级指标</w:t>
            </w:r>
          </w:p>
        </w:tc>
        <w:tc>
          <w:tcPr>
            <w:tcW w:w="4535" w:type="dxa"/>
            <w:gridSpan w:val="2"/>
            <w:tcBorders>
              <w:top w:val="single" w:sz="4" w:space="0" w:color="000000"/>
              <w:left w:val="nil"/>
              <w:bottom w:val="single" w:sz="4" w:space="0" w:color="000000"/>
              <w:right w:val="single" w:sz="4" w:space="0" w:color="000000"/>
            </w:tcBorders>
            <w:vAlign w:val="center"/>
          </w:tcPr>
          <w:p w:rsidR="00F715EC" w:rsidRDefault="00F715EC">
            <w:pPr>
              <w:jc w:val="center"/>
              <w:rPr>
                <w:rFonts w:ascii="Times New Roman" w:eastAsia="仿宋_GB2312" w:hAnsi="Times New Roman"/>
                <w:b/>
                <w:color w:val="000000"/>
                <w:kern w:val="2"/>
                <w:sz w:val="24"/>
                <w:szCs w:val="24"/>
              </w:rPr>
            </w:pPr>
            <w:r>
              <w:rPr>
                <w:rFonts w:eastAsia="仿宋_GB2312" w:hint="eastAsia"/>
                <w:b/>
                <w:color w:val="000000"/>
                <w:sz w:val="24"/>
              </w:rPr>
              <w:t>评分标准二级指标及其分值</w:t>
            </w:r>
          </w:p>
        </w:tc>
        <w:tc>
          <w:tcPr>
            <w:tcW w:w="1326" w:type="dxa"/>
            <w:tcBorders>
              <w:top w:val="single" w:sz="4" w:space="0" w:color="000000"/>
              <w:left w:val="nil"/>
              <w:bottom w:val="single" w:sz="4" w:space="0" w:color="000000"/>
              <w:right w:val="single" w:sz="4" w:space="0" w:color="000000"/>
            </w:tcBorders>
            <w:vAlign w:val="center"/>
          </w:tcPr>
          <w:p w:rsidR="00F715EC" w:rsidRDefault="00F715EC">
            <w:pPr>
              <w:jc w:val="center"/>
              <w:rPr>
                <w:rFonts w:ascii="Times New Roman" w:eastAsia="仿宋_GB2312" w:hAnsi="Times New Roman"/>
                <w:b/>
                <w:color w:val="000000"/>
                <w:kern w:val="2"/>
                <w:sz w:val="24"/>
                <w:szCs w:val="24"/>
              </w:rPr>
            </w:pPr>
            <w:r>
              <w:rPr>
                <w:rFonts w:eastAsia="仿宋_GB2312" w:hint="eastAsia"/>
                <w:b/>
                <w:color w:val="000000"/>
                <w:sz w:val="24"/>
              </w:rPr>
              <w:t>得分</w:t>
            </w:r>
          </w:p>
        </w:tc>
      </w:tr>
      <w:tr w:rsidR="00F715EC">
        <w:trPr>
          <w:trHeight w:val="737"/>
          <w:jc w:val="center"/>
        </w:trPr>
        <w:tc>
          <w:tcPr>
            <w:tcW w:w="2659" w:type="dxa"/>
            <w:vMerge w:val="restart"/>
            <w:tcBorders>
              <w:top w:val="single" w:sz="4" w:space="0" w:color="auto"/>
              <w:left w:val="single" w:sz="4" w:space="0" w:color="auto"/>
              <w:bottom w:val="single" w:sz="4" w:space="0" w:color="auto"/>
              <w:right w:val="single" w:sz="4" w:space="0" w:color="auto"/>
            </w:tcBorders>
            <w:vAlign w:val="center"/>
          </w:tcPr>
          <w:p w:rsidR="00F715EC" w:rsidRDefault="00F715EC">
            <w:pPr>
              <w:jc w:val="center"/>
              <w:rPr>
                <w:rFonts w:ascii="Times New Roman" w:eastAsia="仿宋_GB2312" w:hAnsi="Times New Roman"/>
                <w:b/>
                <w:sz w:val="24"/>
                <w:szCs w:val="24"/>
              </w:rPr>
            </w:pPr>
            <w:r>
              <w:rPr>
                <w:rFonts w:eastAsia="仿宋_GB2312" w:hint="eastAsia"/>
                <w:b/>
                <w:sz w:val="24"/>
              </w:rPr>
              <w:t>一、活动方案设计</w:t>
            </w:r>
            <w:r>
              <w:rPr>
                <w:rFonts w:eastAsia="仿宋_GB2312"/>
                <w:b/>
                <w:sz w:val="24"/>
              </w:rPr>
              <w:t>ppt</w:t>
            </w:r>
            <w:r>
              <w:rPr>
                <w:rFonts w:eastAsia="仿宋_GB2312" w:hint="eastAsia"/>
                <w:b/>
                <w:sz w:val="24"/>
              </w:rPr>
              <w:t>（</w:t>
            </w:r>
            <w:r>
              <w:rPr>
                <w:rFonts w:eastAsia="仿宋_GB2312"/>
                <w:b/>
                <w:sz w:val="24"/>
              </w:rPr>
              <w:t>13</w:t>
            </w:r>
            <w:r>
              <w:rPr>
                <w:rFonts w:eastAsia="仿宋_GB2312" w:hint="eastAsia"/>
                <w:b/>
                <w:sz w:val="24"/>
              </w:rPr>
              <w:t>分）</w:t>
            </w:r>
          </w:p>
        </w:tc>
        <w:tc>
          <w:tcPr>
            <w:tcW w:w="4535" w:type="dxa"/>
            <w:gridSpan w:val="2"/>
            <w:tcBorders>
              <w:top w:val="single" w:sz="4" w:space="0" w:color="000000"/>
              <w:left w:val="single" w:sz="4" w:space="0" w:color="auto"/>
              <w:bottom w:val="single" w:sz="4" w:space="0" w:color="000000"/>
              <w:right w:val="single" w:sz="4" w:space="0" w:color="000000"/>
            </w:tcBorders>
            <w:vAlign w:val="center"/>
          </w:tcPr>
          <w:p w:rsidR="00F715EC" w:rsidRDefault="00F715EC">
            <w:pPr>
              <w:rPr>
                <w:rFonts w:ascii="Times New Roman" w:eastAsia="仿宋_GB2312" w:hAnsi="Times New Roman"/>
                <w:sz w:val="24"/>
                <w:szCs w:val="24"/>
              </w:rPr>
            </w:pPr>
            <w:r>
              <w:rPr>
                <w:rFonts w:eastAsia="仿宋_GB2312"/>
                <w:sz w:val="24"/>
              </w:rPr>
              <w:t>1</w:t>
            </w:r>
            <w:r>
              <w:rPr>
                <w:rFonts w:eastAsia="仿宋_GB2312" w:hint="eastAsia"/>
                <w:sz w:val="24"/>
              </w:rPr>
              <w:t>．活动策划的基本要素（好</w:t>
            </w:r>
            <w:r>
              <w:rPr>
                <w:rFonts w:eastAsia="仿宋_GB2312"/>
                <w:sz w:val="24"/>
              </w:rPr>
              <w:t>5</w:t>
            </w:r>
            <w:r>
              <w:rPr>
                <w:rFonts w:eastAsia="仿宋_GB2312" w:hint="eastAsia"/>
                <w:sz w:val="24"/>
              </w:rPr>
              <w:t>分，一般</w:t>
            </w:r>
            <w:r>
              <w:rPr>
                <w:rFonts w:eastAsia="仿宋_GB2312"/>
                <w:sz w:val="24"/>
              </w:rPr>
              <w:t>3</w:t>
            </w:r>
            <w:r>
              <w:rPr>
                <w:rFonts w:eastAsia="仿宋_GB2312" w:hint="eastAsia"/>
                <w:sz w:val="24"/>
              </w:rPr>
              <w:t>分，差</w:t>
            </w:r>
            <w:r>
              <w:rPr>
                <w:rFonts w:eastAsia="仿宋_GB2312"/>
                <w:sz w:val="24"/>
              </w:rPr>
              <w:t>1</w:t>
            </w:r>
            <w:r>
              <w:rPr>
                <w:rFonts w:eastAsia="仿宋_GB2312" w:hint="eastAsia"/>
                <w:sz w:val="24"/>
              </w:rPr>
              <w:t>分）</w:t>
            </w:r>
          </w:p>
        </w:tc>
        <w:tc>
          <w:tcPr>
            <w:tcW w:w="1326" w:type="dxa"/>
            <w:tcBorders>
              <w:top w:val="single" w:sz="4" w:space="0" w:color="000000"/>
              <w:left w:val="nil"/>
              <w:bottom w:val="single" w:sz="4" w:space="0" w:color="000000"/>
              <w:right w:val="single" w:sz="4" w:space="0" w:color="000000"/>
            </w:tcBorders>
            <w:vAlign w:val="center"/>
          </w:tcPr>
          <w:p w:rsidR="00F715EC" w:rsidRDefault="00F715EC">
            <w:pPr>
              <w:jc w:val="center"/>
              <w:rPr>
                <w:rFonts w:ascii="Times New Roman" w:eastAsia="仿宋_GB2312" w:hAnsi="Times New Roman"/>
                <w:sz w:val="24"/>
                <w:szCs w:val="24"/>
              </w:rPr>
            </w:pPr>
          </w:p>
        </w:tc>
      </w:tr>
      <w:tr w:rsidR="00F715EC">
        <w:trPr>
          <w:trHeight w:val="737"/>
          <w:jc w:val="center"/>
        </w:trPr>
        <w:tc>
          <w:tcPr>
            <w:tcW w:w="2659" w:type="dxa"/>
            <w:vMerge/>
            <w:tcBorders>
              <w:top w:val="single" w:sz="4" w:space="0" w:color="auto"/>
              <w:left w:val="single" w:sz="4" w:space="0" w:color="auto"/>
              <w:bottom w:val="single" w:sz="4" w:space="0" w:color="auto"/>
              <w:right w:val="single" w:sz="4" w:space="0" w:color="auto"/>
            </w:tcBorders>
            <w:vAlign w:val="center"/>
          </w:tcPr>
          <w:p w:rsidR="00F715EC" w:rsidRDefault="00F715EC">
            <w:pPr>
              <w:rPr>
                <w:rFonts w:ascii="Times New Roman" w:eastAsia="仿宋_GB2312" w:hAnsi="Times New Roman"/>
                <w:b/>
                <w:sz w:val="24"/>
                <w:szCs w:val="24"/>
              </w:rPr>
            </w:pPr>
          </w:p>
        </w:tc>
        <w:tc>
          <w:tcPr>
            <w:tcW w:w="1330" w:type="dxa"/>
            <w:tcBorders>
              <w:top w:val="single" w:sz="4" w:space="0" w:color="000000"/>
              <w:left w:val="single" w:sz="4" w:space="0" w:color="auto"/>
              <w:bottom w:val="single" w:sz="4" w:space="0" w:color="000000"/>
              <w:right w:val="single" w:sz="4" w:space="0" w:color="auto"/>
            </w:tcBorders>
            <w:vAlign w:val="center"/>
          </w:tcPr>
          <w:p w:rsidR="00F715EC" w:rsidRDefault="00F715EC">
            <w:pPr>
              <w:rPr>
                <w:rFonts w:ascii="Times New Roman" w:eastAsia="仿宋_GB2312" w:hAnsi="Times New Roman"/>
                <w:sz w:val="24"/>
                <w:szCs w:val="24"/>
              </w:rPr>
            </w:pPr>
            <w:r>
              <w:rPr>
                <w:rFonts w:eastAsia="仿宋_GB2312" w:hint="eastAsia"/>
                <w:sz w:val="24"/>
              </w:rPr>
              <w:t>选题一：调研活动</w:t>
            </w:r>
          </w:p>
        </w:tc>
        <w:tc>
          <w:tcPr>
            <w:tcW w:w="3205" w:type="dxa"/>
            <w:tcBorders>
              <w:top w:val="single" w:sz="4" w:space="0" w:color="000000"/>
              <w:left w:val="single" w:sz="4" w:space="0" w:color="auto"/>
              <w:bottom w:val="single" w:sz="4" w:space="0" w:color="000000"/>
              <w:right w:val="single" w:sz="4" w:space="0" w:color="000000"/>
            </w:tcBorders>
            <w:vAlign w:val="center"/>
          </w:tcPr>
          <w:p w:rsidR="00F715EC" w:rsidRDefault="00F715EC">
            <w:pPr>
              <w:rPr>
                <w:rFonts w:ascii="Times New Roman" w:eastAsia="仿宋_GB2312" w:hAnsi="Times New Roman"/>
                <w:sz w:val="24"/>
                <w:szCs w:val="24"/>
              </w:rPr>
            </w:pPr>
            <w:r>
              <w:rPr>
                <w:rFonts w:eastAsia="仿宋_GB2312"/>
                <w:sz w:val="24"/>
              </w:rPr>
              <w:t>2</w:t>
            </w:r>
            <w:r>
              <w:rPr>
                <w:rFonts w:eastAsia="仿宋_GB2312" w:hint="eastAsia"/>
                <w:sz w:val="24"/>
              </w:rPr>
              <w:t>．调研方法选择及物料准备（好</w:t>
            </w:r>
            <w:r>
              <w:rPr>
                <w:rFonts w:eastAsia="仿宋_GB2312"/>
                <w:sz w:val="24"/>
              </w:rPr>
              <w:t>6</w:t>
            </w:r>
            <w:r>
              <w:rPr>
                <w:rFonts w:eastAsia="仿宋_GB2312" w:hint="eastAsia"/>
                <w:sz w:val="24"/>
              </w:rPr>
              <w:t>分，一般</w:t>
            </w:r>
            <w:r>
              <w:rPr>
                <w:rFonts w:eastAsia="仿宋_GB2312"/>
                <w:sz w:val="24"/>
              </w:rPr>
              <w:t>3</w:t>
            </w:r>
            <w:r>
              <w:rPr>
                <w:rFonts w:eastAsia="仿宋_GB2312" w:hint="eastAsia"/>
                <w:sz w:val="24"/>
              </w:rPr>
              <w:t>分，差</w:t>
            </w:r>
            <w:r>
              <w:rPr>
                <w:rFonts w:eastAsia="仿宋_GB2312"/>
                <w:sz w:val="24"/>
              </w:rPr>
              <w:t>1</w:t>
            </w:r>
            <w:r>
              <w:rPr>
                <w:rFonts w:eastAsia="仿宋_GB2312" w:hint="eastAsia"/>
                <w:sz w:val="24"/>
              </w:rPr>
              <w:t>分）</w:t>
            </w:r>
          </w:p>
        </w:tc>
        <w:tc>
          <w:tcPr>
            <w:tcW w:w="1326" w:type="dxa"/>
            <w:tcBorders>
              <w:top w:val="single" w:sz="4" w:space="0" w:color="000000"/>
              <w:left w:val="nil"/>
              <w:bottom w:val="single" w:sz="4" w:space="0" w:color="000000"/>
              <w:right w:val="single" w:sz="4" w:space="0" w:color="000000"/>
            </w:tcBorders>
            <w:vAlign w:val="center"/>
          </w:tcPr>
          <w:p w:rsidR="00F715EC" w:rsidRDefault="00F715EC">
            <w:pPr>
              <w:jc w:val="center"/>
              <w:rPr>
                <w:rFonts w:ascii="Times New Roman" w:eastAsia="仿宋_GB2312" w:hAnsi="Times New Roman"/>
                <w:sz w:val="24"/>
                <w:szCs w:val="24"/>
              </w:rPr>
            </w:pPr>
          </w:p>
        </w:tc>
      </w:tr>
      <w:tr w:rsidR="00F715EC">
        <w:trPr>
          <w:trHeight w:val="737"/>
          <w:jc w:val="center"/>
        </w:trPr>
        <w:tc>
          <w:tcPr>
            <w:tcW w:w="2659" w:type="dxa"/>
            <w:vMerge/>
            <w:tcBorders>
              <w:top w:val="single" w:sz="4" w:space="0" w:color="auto"/>
              <w:left w:val="single" w:sz="4" w:space="0" w:color="auto"/>
              <w:bottom w:val="single" w:sz="4" w:space="0" w:color="auto"/>
              <w:right w:val="single" w:sz="4" w:space="0" w:color="auto"/>
            </w:tcBorders>
            <w:vAlign w:val="center"/>
          </w:tcPr>
          <w:p w:rsidR="00F715EC" w:rsidRDefault="00F715EC">
            <w:pPr>
              <w:rPr>
                <w:rFonts w:ascii="Times New Roman" w:eastAsia="仿宋_GB2312" w:hAnsi="Times New Roman"/>
                <w:b/>
                <w:sz w:val="24"/>
                <w:szCs w:val="24"/>
              </w:rPr>
            </w:pPr>
          </w:p>
        </w:tc>
        <w:tc>
          <w:tcPr>
            <w:tcW w:w="1330" w:type="dxa"/>
            <w:tcBorders>
              <w:top w:val="single" w:sz="4" w:space="0" w:color="000000"/>
              <w:left w:val="single" w:sz="4" w:space="0" w:color="auto"/>
              <w:bottom w:val="single" w:sz="4" w:space="0" w:color="000000"/>
              <w:right w:val="single" w:sz="4" w:space="0" w:color="auto"/>
            </w:tcBorders>
            <w:vAlign w:val="center"/>
          </w:tcPr>
          <w:p w:rsidR="00F715EC" w:rsidRDefault="00F715EC">
            <w:pPr>
              <w:rPr>
                <w:rFonts w:ascii="Times New Roman" w:eastAsia="仿宋_GB2312" w:hAnsi="Times New Roman"/>
                <w:sz w:val="24"/>
                <w:szCs w:val="24"/>
              </w:rPr>
            </w:pPr>
            <w:r>
              <w:rPr>
                <w:rFonts w:eastAsia="仿宋_GB2312" w:hint="eastAsia"/>
                <w:sz w:val="24"/>
              </w:rPr>
              <w:t>选题二：促销活动</w:t>
            </w:r>
          </w:p>
        </w:tc>
        <w:tc>
          <w:tcPr>
            <w:tcW w:w="3205" w:type="dxa"/>
            <w:tcBorders>
              <w:top w:val="single" w:sz="4" w:space="0" w:color="000000"/>
              <w:left w:val="single" w:sz="4" w:space="0" w:color="auto"/>
              <w:bottom w:val="single" w:sz="4" w:space="0" w:color="000000"/>
              <w:right w:val="single" w:sz="4" w:space="0" w:color="000000"/>
            </w:tcBorders>
            <w:vAlign w:val="center"/>
          </w:tcPr>
          <w:p w:rsidR="00F715EC" w:rsidRDefault="00F715EC">
            <w:pPr>
              <w:rPr>
                <w:rFonts w:ascii="Times New Roman" w:eastAsia="仿宋_GB2312" w:hAnsi="Times New Roman"/>
                <w:sz w:val="24"/>
                <w:szCs w:val="24"/>
              </w:rPr>
            </w:pPr>
            <w:r>
              <w:rPr>
                <w:rFonts w:eastAsia="仿宋_GB2312"/>
                <w:sz w:val="24"/>
              </w:rPr>
              <w:t>2</w:t>
            </w:r>
            <w:r>
              <w:rPr>
                <w:rFonts w:eastAsia="仿宋_GB2312" w:hint="eastAsia"/>
                <w:sz w:val="24"/>
              </w:rPr>
              <w:t>．目标市场分析（好</w:t>
            </w:r>
            <w:r>
              <w:rPr>
                <w:rFonts w:eastAsia="仿宋_GB2312"/>
                <w:sz w:val="24"/>
              </w:rPr>
              <w:t>6</w:t>
            </w:r>
            <w:r>
              <w:rPr>
                <w:rFonts w:eastAsia="仿宋_GB2312" w:hint="eastAsia"/>
                <w:sz w:val="24"/>
              </w:rPr>
              <w:t>分，一般</w:t>
            </w:r>
            <w:r>
              <w:rPr>
                <w:rFonts w:eastAsia="仿宋_GB2312"/>
                <w:sz w:val="24"/>
              </w:rPr>
              <w:t>3</w:t>
            </w:r>
            <w:r>
              <w:rPr>
                <w:rFonts w:eastAsia="仿宋_GB2312" w:hint="eastAsia"/>
                <w:sz w:val="24"/>
              </w:rPr>
              <w:t>分，差</w:t>
            </w:r>
            <w:r>
              <w:rPr>
                <w:rFonts w:eastAsia="仿宋_GB2312"/>
                <w:sz w:val="24"/>
              </w:rPr>
              <w:t>1</w:t>
            </w:r>
            <w:r>
              <w:rPr>
                <w:rFonts w:eastAsia="仿宋_GB2312" w:hint="eastAsia"/>
                <w:sz w:val="24"/>
              </w:rPr>
              <w:t>分）</w:t>
            </w:r>
          </w:p>
        </w:tc>
        <w:tc>
          <w:tcPr>
            <w:tcW w:w="1326" w:type="dxa"/>
            <w:tcBorders>
              <w:top w:val="single" w:sz="4" w:space="0" w:color="000000"/>
              <w:left w:val="nil"/>
              <w:bottom w:val="single" w:sz="4" w:space="0" w:color="000000"/>
              <w:right w:val="single" w:sz="4" w:space="0" w:color="000000"/>
            </w:tcBorders>
            <w:vAlign w:val="center"/>
          </w:tcPr>
          <w:p w:rsidR="00F715EC" w:rsidRDefault="00F715EC">
            <w:pPr>
              <w:jc w:val="center"/>
              <w:rPr>
                <w:rFonts w:ascii="Times New Roman" w:eastAsia="仿宋_GB2312" w:hAnsi="Times New Roman"/>
                <w:sz w:val="24"/>
                <w:szCs w:val="24"/>
              </w:rPr>
            </w:pPr>
          </w:p>
          <w:p w:rsidR="00F715EC" w:rsidRDefault="00F715EC">
            <w:pPr>
              <w:jc w:val="center"/>
              <w:rPr>
                <w:rFonts w:ascii="Times New Roman" w:eastAsia="仿宋_GB2312" w:hAnsi="Times New Roman"/>
                <w:sz w:val="24"/>
                <w:szCs w:val="24"/>
              </w:rPr>
            </w:pPr>
          </w:p>
        </w:tc>
      </w:tr>
      <w:tr w:rsidR="00F715EC">
        <w:trPr>
          <w:trHeight w:val="737"/>
          <w:jc w:val="center"/>
        </w:trPr>
        <w:tc>
          <w:tcPr>
            <w:tcW w:w="2659" w:type="dxa"/>
            <w:vMerge/>
            <w:tcBorders>
              <w:top w:val="single" w:sz="4" w:space="0" w:color="auto"/>
              <w:left w:val="single" w:sz="4" w:space="0" w:color="auto"/>
              <w:bottom w:val="single" w:sz="4" w:space="0" w:color="auto"/>
              <w:right w:val="single" w:sz="4" w:space="0" w:color="auto"/>
            </w:tcBorders>
            <w:vAlign w:val="center"/>
          </w:tcPr>
          <w:p w:rsidR="00F715EC" w:rsidRDefault="00F715EC">
            <w:pPr>
              <w:rPr>
                <w:rFonts w:ascii="Times New Roman" w:eastAsia="仿宋_GB2312" w:hAnsi="Times New Roman"/>
                <w:b/>
                <w:sz w:val="24"/>
                <w:szCs w:val="24"/>
              </w:rPr>
            </w:pPr>
          </w:p>
        </w:tc>
        <w:tc>
          <w:tcPr>
            <w:tcW w:w="1330" w:type="dxa"/>
            <w:tcBorders>
              <w:top w:val="single" w:sz="4" w:space="0" w:color="000000"/>
              <w:left w:val="single" w:sz="4" w:space="0" w:color="auto"/>
              <w:bottom w:val="single" w:sz="4" w:space="0" w:color="000000"/>
              <w:right w:val="single" w:sz="4" w:space="0" w:color="auto"/>
            </w:tcBorders>
            <w:vAlign w:val="center"/>
          </w:tcPr>
          <w:p w:rsidR="00F715EC" w:rsidRDefault="00F715EC">
            <w:pPr>
              <w:rPr>
                <w:rFonts w:eastAsia="仿宋_GB2312"/>
                <w:sz w:val="24"/>
              </w:rPr>
            </w:pPr>
            <w:r>
              <w:rPr>
                <w:rFonts w:eastAsia="仿宋_GB2312" w:hint="eastAsia"/>
                <w:sz w:val="24"/>
              </w:rPr>
              <w:t>选题三：全渠道活动</w:t>
            </w:r>
          </w:p>
        </w:tc>
        <w:tc>
          <w:tcPr>
            <w:tcW w:w="3205" w:type="dxa"/>
            <w:tcBorders>
              <w:top w:val="single" w:sz="4" w:space="0" w:color="000000"/>
              <w:left w:val="single" w:sz="4" w:space="0" w:color="auto"/>
              <w:bottom w:val="single" w:sz="4" w:space="0" w:color="000000"/>
              <w:right w:val="single" w:sz="4" w:space="0" w:color="000000"/>
            </w:tcBorders>
            <w:vAlign w:val="center"/>
          </w:tcPr>
          <w:p w:rsidR="00F715EC" w:rsidRDefault="00F715EC">
            <w:pPr>
              <w:rPr>
                <w:rFonts w:eastAsia="仿宋_GB2312"/>
                <w:sz w:val="24"/>
              </w:rPr>
            </w:pPr>
            <w:r>
              <w:rPr>
                <w:rFonts w:eastAsia="仿宋_GB2312"/>
                <w:sz w:val="24"/>
              </w:rPr>
              <w:t>2</w:t>
            </w:r>
            <w:r>
              <w:rPr>
                <w:rFonts w:eastAsia="仿宋_GB2312" w:hint="eastAsia"/>
                <w:sz w:val="24"/>
              </w:rPr>
              <w:t>．推广策略（好</w:t>
            </w:r>
            <w:r>
              <w:rPr>
                <w:rFonts w:eastAsia="仿宋_GB2312"/>
                <w:sz w:val="24"/>
              </w:rPr>
              <w:t>6</w:t>
            </w:r>
            <w:r>
              <w:rPr>
                <w:rFonts w:eastAsia="仿宋_GB2312" w:hint="eastAsia"/>
                <w:sz w:val="24"/>
              </w:rPr>
              <w:t>分，一般</w:t>
            </w:r>
            <w:r>
              <w:rPr>
                <w:rFonts w:eastAsia="仿宋_GB2312"/>
                <w:sz w:val="24"/>
              </w:rPr>
              <w:t>3</w:t>
            </w:r>
            <w:r>
              <w:rPr>
                <w:rFonts w:eastAsia="仿宋_GB2312" w:hint="eastAsia"/>
                <w:sz w:val="24"/>
              </w:rPr>
              <w:t>分，差</w:t>
            </w:r>
            <w:r>
              <w:rPr>
                <w:rFonts w:eastAsia="仿宋_GB2312"/>
                <w:sz w:val="24"/>
              </w:rPr>
              <w:t>1</w:t>
            </w:r>
            <w:r>
              <w:rPr>
                <w:rFonts w:eastAsia="仿宋_GB2312" w:hint="eastAsia"/>
                <w:sz w:val="24"/>
              </w:rPr>
              <w:t>分）</w:t>
            </w:r>
          </w:p>
        </w:tc>
        <w:tc>
          <w:tcPr>
            <w:tcW w:w="1326" w:type="dxa"/>
            <w:tcBorders>
              <w:top w:val="single" w:sz="4" w:space="0" w:color="000000"/>
              <w:left w:val="nil"/>
              <w:bottom w:val="single" w:sz="4" w:space="0" w:color="000000"/>
              <w:right w:val="single" w:sz="4" w:space="0" w:color="000000"/>
            </w:tcBorders>
            <w:vAlign w:val="center"/>
          </w:tcPr>
          <w:p w:rsidR="00F715EC" w:rsidRDefault="00F715EC">
            <w:pPr>
              <w:jc w:val="center"/>
              <w:rPr>
                <w:rFonts w:ascii="Times New Roman" w:eastAsia="仿宋_GB2312" w:hAnsi="Times New Roman"/>
                <w:sz w:val="24"/>
                <w:szCs w:val="24"/>
              </w:rPr>
            </w:pPr>
          </w:p>
        </w:tc>
      </w:tr>
      <w:tr w:rsidR="00F715EC">
        <w:trPr>
          <w:trHeight w:val="737"/>
          <w:jc w:val="center"/>
        </w:trPr>
        <w:tc>
          <w:tcPr>
            <w:tcW w:w="2659" w:type="dxa"/>
            <w:vMerge/>
            <w:tcBorders>
              <w:top w:val="single" w:sz="4" w:space="0" w:color="auto"/>
              <w:left w:val="single" w:sz="4" w:space="0" w:color="auto"/>
              <w:bottom w:val="single" w:sz="4" w:space="0" w:color="auto"/>
              <w:right w:val="single" w:sz="4" w:space="0" w:color="auto"/>
            </w:tcBorders>
            <w:vAlign w:val="center"/>
          </w:tcPr>
          <w:p w:rsidR="00F715EC" w:rsidRDefault="00F715EC">
            <w:pPr>
              <w:rPr>
                <w:rFonts w:ascii="Times New Roman" w:eastAsia="仿宋_GB2312" w:hAnsi="Times New Roman"/>
                <w:b/>
                <w:sz w:val="24"/>
                <w:szCs w:val="24"/>
              </w:rPr>
            </w:pPr>
          </w:p>
        </w:tc>
        <w:tc>
          <w:tcPr>
            <w:tcW w:w="4535" w:type="dxa"/>
            <w:gridSpan w:val="2"/>
            <w:tcBorders>
              <w:top w:val="single" w:sz="4" w:space="0" w:color="000000"/>
              <w:left w:val="single" w:sz="4" w:space="0" w:color="auto"/>
              <w:bottom w:val="single" w:sz="4" w:space="0" w:color="000000"/>
              <w:right w:val="single" w:sz="4" w:space="0" w:color="000000"/>
            </w:tcBorders>
            <w:vAlign w:val="center"/>
          </w:tcPr>
          <w:p w:rsidR="00F715EC" w:rsidRDefault="00F715EC">
            <w:pPr>
              <w:rPr>
                <w:rFonts w:ascii="Times New Roman" w:eastAsia="仿宋_GB2312" w:hAnsi="Times New Roman"/>
                <w:sz w:val="24"/>
                <w:szCs w:val="24"/>
              </w:rPr>
            </w:pPr>
            <w:r>
              <w:rPr>
                <w:rFonts w:eastAsia="仿宋_GB2312"/>
                <w:sz w:val="24"/>
              </w:rPr>
              <w:t>3</w:t>
            </w:r>
            <w:r>
              <w:rPr>
                <w:rFonts w:eastAsia="仿宋_GB2312" w:hint="eastAsia"/>
                <w:sz w:val="24"/>
              </w:rPr>
              <w:t>．活动费用预算（好</w:t>
            </w:r>
            <w:r>
              <w:rPr>
                <w:rFonts w:eastAsia="仿宋_GB2312"/>
                <w:sz w:val="24"/>
              </w:rPr>
              <w:t>2</w:t>
            </w:r>
            <w:r>
              <w:rPr>
                <w:rFonts w:eastAsia="仿宋_GB2312" w:hint="eastAsia"/>
                <w:sz w:val="24"/>
              </w:rPr>
              <w:t>分，一般</w:t>
            </w:r>
            <w:r>
              <w:rPr>
                <w:rFonts w:eastAsia="仿宋_GB2312"/>
                <w:sz w:val="24"/>
              </w:rPr>
              <w:t>1</w:t>
            </w:r>
            <w:r>
              <w:rPr>
                <w:rFonts w:eastAsia="仿宋_GB2312" w:hint="eastAsia"/>
                <w:sz w:val="24"/>
              </w:rPr>
              <w:t>分，差</w:t>
            </w:r>
            <w:r>
              <w:rPr>
                <w:rFonts w:eastAsia="仿宋_GB2312"/>
                <w:sz w:val="24"/>
              </w:rPr>
              <w:t>0</w:t>
            </w:r>
            <w:r>
              <w:rPr>
                <w:rFonts w:eastAsia="仿宋_GB2312" w:hint="eastAsia"/>
                <w:sz w:val="24"/>
              </w:rPr>
              <w:t>分）</w:t>
            </w:r>
          </w:p>
        </w:tc>
        <w:tc>
          <w:tcPr>
            <w:tcW w:w="1326" w:type="dxa"/>
            <w:tcBorders>
              <w:top w:val="single" w:sz="4" w:space="0" w:color="000000"/>
              <w:left w:val="nil"/>
              <w:bottom w:val="single" w:sz="4" w:space="0" w:color="000000"/>
              <w:right w:val="single" w:sz="4" w:space="0" w:color="000000"/>
            </w:tcBorders>
            <w:vAlign w:val="center"/>
          </w:tcPr>
          <w:p w:rsidR="00F715EC" w:rsidRDefault="00F715EC">
            <w:pPr>
              <w:jc w:val="center"/>
              <w:rPr>
                <w:rFonts w:ascii="Times New Roman" w:eastAsia="仿宋_GB2312" w:hAnsi="Times New Roman"/>
                <w:sz w:val="24"/>
                <w:szCs w:val="24"/>
              </w:rPr>
            </w:pPr>
          </w:p>
        </w:tc>
      </w:tr>
      <w:tr w:rsidR="00F715EC">
        <w:trPr>
          <w:trHeight w:val="737"/>
          <w:jc w:val="center"/>
        </w:trPr>
        <w:tc>
          <w:tcPr>
            <w:tcW w:w="2659" w:type="dxa"/>
            <w:tcBorders>
              <w:top w:val="single" w:sz="4" w:space="0" w:color="auto"/>
              <w:left w:val="single" w:sz="4" w:space="0" w:color="auto"/>
              <w:bottom w:val="single" w:sz="4" w:space="0" w:color="auto"/>
              <w:right w:val="single" w:sz="4" w:space="0" w:color="auto"/>
            </w:tcBorders>
            <w:vAlign w:val="center"/>
          </w:tcPr>
          <w:p w:rsidR="00F715EC" w:rsidRDefault="00F715EC">
            <w:pPr>
              <w:jc w:val="center"/>
              <w:rPr>
                <w:rFonts w:ascii="Times New Roman" w:eastAsia="仿宋_GB2312" w:hAnsi="Times New Roman"/>
                <w:b/>
                <w:sz w:val="24"/>
                <w:szCs w:val="24"/>
              </w:rPr>
            </w:pPr>
            <w:r>
              <w:rPr>
                <w:rFonts w:eastAsia="仿宋_GB2312" w:hint="eastAsia"/>
                <w:b/>
                <w:sz w:val="24"/>
              </w:rPr>
              <w:t>二、文案制作水平</w:t>
            </w:r>
          </w:p>
          <w:p w:rsidR="00F715EC" w:rsidRDefault="00F715EC">
            <w:pPr>
              <w:jc w:val="center"/>
              <w:rPr>
                <w:rFonts w:ascii="Times New Roman" w:eastAsia="仿宋_GB2312" w:hAnsi="Times New Roman"/>
                <w:b/>
                <w:sz w:val="24"/>
                <w:szCs w:val="24"/>
              </w:rPr>
            </w:pPr>
            <w:r>
              <w:rPr>
                <w:rFonts w:eastAsia="仿宋_GB2312" w:hint="eastAsia"/>
                <w:b/>
                <w:sz w:val="24"/>
              </w:rPr>
              <w:t>（</w:t>
            </w:r>
            <w:r>
              <w:rPr>
                <w:rFonts w:eastAsia="仿宋_GB2312"/>
                <w:b/>
                <w:sz w:val="24"/>
              </w:rPr>
              <w:t>4</w:t>
            </w:r>
            <w:r>
              <w:rPr>
                <w:rFonts w:eastAsia="仿宋_GB2312" w:hint="eastAsia"/>
                <w:b/>
                <w:sz w:val="24"/>
              </w:rPr>
              <w:t>分）</w:t>
            </w:r>
          </w:p>
        </w:tc>
        <w:tc>
          <w:tcPr>
            <w:tcW w:w="4535" w:type="dxa"/>
            <w:gridSpan w:val="2"/>
            <w:tcBorders>
              <w:top w:val="single" w:sz="4" w:space="0" w:color="000000"/>
              <w:left w:val="single" w:sz="4" w:space="0" w:color="auto"/>
              <w:bottom w:val="single" w:sz="4" w:space="0" w:color="000000"/>
              <w:right w:val="single" w:sz="4" w:space="0" w:color="000000"/>
            </w:tcBorders>
            <w:vAlign w:val="center"/>
          </w:tcPr>
          <w:p w:rsidR="00F715EC" w:rsidRDefault="00F715EC">
            <w:pPr>
              <w:rPr>
                <w:rFonts w:ascii="Times New Roman" w:eastAsia="仿宋_GB2312" w:hAnsi="Times New Roman"/>
                <w:sz w:val="24"/>
                <w:szCs w:val="24"/>
              </w:rPr>
            </w:pPr>
            <w:r>
              <w:rPr>
                <w:rFonts w:eastAsia="仿宋_GB2312"/>
                <w:sz w:val="24"/>
              </w:rPr>
              <w:t>4</w:t>
            </w:r>
            <w:r>
              <w:rPr>
                <w:rFonts w:eastAsia="仿宋_GB2312" w:hint="eastAsia"/>
                <w:sz w:val="24"/>
              </w:rPr>
              <w:t>．</w:t>
            </w:r>
            <w:r>
              <w:rPr>
                <w:rFonts w:eastAsia="仿宋_GB2312"/>
                <w:sz w:val="24"/>
              </w:rPr>
              <w:t>PPT</w:t>
            </w:r>
            <w:r>
              <w:rPr>
                <w:rFonts w:eastAsia="仿宋_GB2312" w:hint="eastAsia"/>
                <w:sz w:val="24"/>
              </w:rPr>
              <w:t>制作质量（好</w:t>
            </w:r>
            <w:r>
              <w:rPr>
                <w:rFonts w:eastAsia="仿宋_GB2312"/>
                <w:sz w:val="24"/>
              </w:rPr>
              <w:t>4</w:t>
            </w:r>
            <w:r>
              <w:rPr>
                <w:rFonts w:eastAsia="仿宋_GB2312" w:hint="eastAsia"/>
                <w:sz w:val="24"/>
              </w:rPr>
              <w:t>分，一般</w:t>
            </w:r>
            <w:r>
              <w:rPr>
                <w:rFonts w:eastAsia="仿宋_GB2312"/>
                <w:sz w:val="24"/>
              </w:rPr>
              <w:t>2</w:t>
            </w:r>
            <w:r>
              <w:rPr>
                <w:rFonts w:eastAsia="仿宋_GB2312" w:hint="eastAsia"/>
                <w:sz w:val="24"/>
              </w:rPr>
              <w:t>分，差</w:t>
            </w:r>
            <w:r>
              <w:rPr>
                <w:rFonts w:eastAsia="仿宋_GB2312"/>
                <w:sz w:val="24"/>
              </w:rPr>
              <w:t>0</w:t>
            </w:r>
            <w:r>
              <w:rPr>
                <w:rFonts w:eastAsia="仿宋_GB2312" w:hint="eastAsia"/>
                <w:sz w:val="24"/>
              </w:rPr>
              <w:t>分）</w:t>
            </w:r>
          </w:p>
        </w:tc>
        <w:tc>
          <w:tcPr>
            <w:tcW w:w="1326" w:type="dxa"/>
            <w:tcBorders>
              <w:top w:val="single" w:sz="4" w:space="0" w:color="000000"/>
              <w:left w:val="nil"/>
              <w:bottom w:val="single" w:sz="4" w:space="0" w:color="000000"/>
              <w:right w:val="single" w:sz="4" w:space="0" w:color="000000"/>
            </w:tcBorders>
            <w:vAlign w:val="center"/>
          </w:tcPr>
          <w:p w:rsidR="00F715EC" w:rsidRDefault="00F715EC">
            <w:pPr>
              <w:jc w:val="center"/>
              <w:rPr>
                <w:rFonts w:ascii="Times New Roman" w:eastAsia="仿宋_GB2312" w:hAnsi="Times New Roman"/>
                <w:sz w:val="24"/>
                <w:szCs w:val="24"/>
              </w:rPr>
            </w:pPr>
          </w:p>
        </w:tc>
      </w:tr>
      <w:tr w:rsidR="00F715EC">
        <w:trPr>
          <w:trHeight w:val="737"/>
          <w:jc w:val="center"/>
        </w:trPr>
        <w:tc>
          <w:tcPr>
            <w:tcW w:w="2659" w:type="dxa"/>
            <w:vMerge w:val="restart"/>
            <w:tcBorders>
              <w:top w:val="single" w:sz="4" w:space="0" w:color="auto"/>
              <w:left w:val="single" w:sz="4" w:space="0" w:color="auto"/>
              <w:bottom w:val="single" w:sz="4" w:space="0" w:color="auto"/>
              <w:right w:val="single" w:sz="4" w:space="0" w:color="auto"/>
            </w:tcBorders>
            <w:vAlign w:val="center"/>
          </w:tcPr>
          <w:p w:rsidR="00F715EC" w:rsidRDefault="00F715EC">
            <w:pPr>
              <w:jc w:val="center"/>
              <w:rPr>
                <w:rFonts w:ascii="仿宋_GB2312" w:eastAsia="仿宋_GB2312" w:hAnsi="Times New Roman"/>
                <w:b/>
                <w:sz w:val="24"/>
                <w:szCs w:val="24"/>
              </w:rPr>
            </w:pPr>
            <w:r>
              <w:rPr>
                <w:rFonts w:eastAsia="仿宋_GB2312"/>
                <w:b/>
                <w:sz w:val="24"/>
              </w:rPr>
              <w:t xml:space="preserve"> </w:t>
            </w:r>
            <w:r>
              <w:rPr>
                <w:rFonts w:eastAsia="仿宋_GB2312" w:hint="eastAsia"/>
                <w:b/>
                <w:sz w:val="24"/>
              </w:rPr>
              <w:t>三</w:t>
            </w:r>
            <w:r>
              <w:rPr>
                <w:rFonts w:ascii="仿宋_GB2312" w:eastAsia="仿宋_GB2312" w:hint="eastAsia"/>
                <w:b/>
                <w:sz w:val="24"/>
              </w:rPr>
              <w:t>、沟通表现及礼仪规范（</w:t>
            </w:r>
            <w:r>
              <w:rPr>
                <w:rFonts w:ascii="仿宋_GB2312" w:eastAsia="仿宋_GB2312"/>
                <w:b/>
                <w:sz w:val="24"/>
              </w:rPr>
              <w:t>8</w:t>
            </w:r>
            <w:r>
              <w:rPr>
                <w:rFonts w:ascii="仿宋_GB2312" w:eastAsia="仿宋_GB2312" w:hint="eastAsia"/>
                <w:b/>
                <w:sz w:val="24"/>
              </w:rPr>
              <w:t>分）</w:t>
            </w:r>
          </w:p>
        </w:tc>
        <w:tc>
          <w:tcPr>
            <w:tcW w:w="4535" w:type="dxa"/>
            <w:gridSpan w:val="2"/>
            <w:tcBorders>
              <w:top w:val="single" w:sz="4" w:space="0" w:color="000000"/>
              <w:left w:val="single" w:sz="4" w:space="0" w:color="auto"/>
              <w:bottom w:val="single" w:sz="4" w:space="0" w:color="000000"/>
              <w:right w:val="single" w:sz="4" w:space="0" w:color="000000"/>
            </w:tcBorders>
            <w:vAlign w:val="center"/>
          </w:tcPr>
          <w:p w:rsidR="00F715EC" w:rsidRDefault="00F715EC">
            <w:pPr>
              <w:rPr>
                <w:rFonts w:ascii="Times New Roman" w:eastAsia="仿宋_GB2312" w:hAnsi="Times New Roman"/>
                <w:sz w:val="24"/>
                <w:szCs w:val="24"/>
              </w:rPr>
            </w:pPr>
            <w:r>
              <w:rPr>
                <w:rFonts w:eastAsia="仿宋_GB2312"/>
                <w:sz w:val="24"/>
              </w:rPr>
              <w:t>5</w:t>
            </w:r>
            <w:r>
              <w:rPr>
                <w:rFonts w:eastAsia="仿宋_GB2312" w:hint="eastAsia"/>
                <w:sz w:val="24"/>
              </w:rPr>
              <w:t>．团队配合（好</w:t>
            </w:r>
            <w:r>
              <w:rPr>
                <w:rFonts w:eastAsia="仿宋_GB2312"/>
                <w:sz w:val="24"/>
              </w:rPr>
              <w:t>2</w:t>
            </w:r>
            <w:r>
              <w:rPr>
                <w:rFonts w:eastAsia="仿宋_GB2312" w:hint="eastAsia"/>
                <w:sz w:val="24"/>
              </w:rPr>
              <w:t>分，一般</w:t>
            </w:r>
            <w:r>
              <w:rPr>
                <w:rFonts w:eastAsia="仿宋_GB2312"/>
                <w:sz w:val="24"/>
              </w:rPr>
              <w:t>1</w:t>
            </w:r>
            <w:r>
              <w:rPr>
                <w:rFonts w:eastAsia="仿宋_GB2312" w:hint="eastAsia"/>
                <w:sz w:val="24"/>
              </w:rPr>
              <w:t>分，差</w:t>
            </w:r>
            <w:r>
              <w:rPr>
                <w:rFonts w:eastAsia="仿宋_GB2312"/>
                <w:sz w:val="24"/>
              </w:rPr>
              <w:t>0</w:t>
            </w:r>
            <w:r>
              <w:rPr>
                <w:rFonts w:eastAsia="仿宋_GB2312" w:hint="eastAsia"/>
                <w:sz w:val="24"/>
              </w:rPr>
              <w:t>分）</w:t>
            </w:r>
          </w:p>
        </w:tc>
        <w:tc>
          <w:tcPr>
            <w:tcW w:w="1326" w:type="dxa"/>
            <w:tcBorders>
              <w:top w:val="single" w:sz="4" w:space="0" w:color="000000"/>
              <w:left w:val="nil"/>
              <w:bottom w:val="single" w:sz="4" w:space="0" w:color="000000"/>
              <w:right w:val="single" w:sz="4" w:space="0" w:color="000000"/>
            </w:tcBorders>
            <w:vAlign w:val="center"/>
          </w:tcPr>
          <w:p w:rsidR="00F715EC" w:rsidRDefault="00F715EC">
            <w:pPr>
              <w:jc w:val="center"/>
              <w:rPr>
                <w:rFonts w:ascii="Times New Roman" w:eastAsia="仿宋_GB2312" w:hAnsi="Times New Roman"/>
                <w:sz w:val="24"/>
                <w:szCs w:val="24"/>
              </w:rPr>
            </w:pPr>
          </w:p>
        </w:tc>
      </w:tr>
      <w:tr w:rsidR="00F715EC">
        <w:trPr>
          <w:trHeight w:val="737"/>
          <w:jc w:val="center"/>
        </w:trPr>
        <w:tc>
          <w:tcPr>
            <w:tcW w:w="2659" w:type="dxa"/>
            <w:vMerge/>
            <w:tcBorders>
              <w:top w:val="single" w:sz="4" w:space="0" w:color="auto"/>
              <w:left w:val="single" w:sz="4" w:space="0" w:color="auto"/>
              <w:bottom w:val="single" w:sz="4" w:space="0" w:color="auto"/>
              <w:right w:val="single" w:sz="4" w:space="0" w:color="auto"/>
            </w:tcBorders>
            <w:vAlign w:val="center"/>
          </w:tcPr>
          <w:p w:rsidR="00F715EC" w:rsidRDefault="00F715EC">
            <w:pPr>
              <w:rPr>
                <w:rFonts w:ascii="Times New Roman" w:eastAsia="仿宋_GB2312" w:hAnsi="Times New Roman"/>
                <w:b/>
                <w:sz w:val="24"/>
                <w:szCs w:val="24"/>
              </w:rPr>
            </w:pPr>
          </w:p>
        </w:tc>
        <w:tc>
          <w:tcPr>
            <w:tcW w:w="4535" w:type="dxa"/>
            <w:gridSpan w:val="2"/>
            <w:tcBorders>
              <w:top w:val="single" w:sz="4" w:space="0" w:color="000000"/>
              <w:left w:val="single" w:sz="4" w:space="0" w:color="auto"/>
              <w:bottom w:val="single" w:sz="4" w:space="0" w:color="000000"/>
              <w:right w:val="single" w:sz="4" w:space="0" w:color="000000"/>
            </w:tcBorders>
            <w:vAlign w:val="center"/>
          </w:tcPr>
          <w:p w:rsidR="00F715EC" w:rsidRDefault="00F715EC">
            <w:pPr>
              <w:rPr>
                <w:rFonts w:ascii="Times New Roman" w:eastAsia="仿宋_GB2312" w:hAnsi="Times New Roman"/>
                <w:sz w:val="24"/>
                <w:szCs w:val="24"/>
              </w:rPr>
            </w:pPr>
            <w:r>
              <w:rPr>
                <w:rFonts w:eastAsia="仿宋_GB2312"/>
                <w:sz w:val="24"/>
              </w:rPr>
              <w:t>6</w:t>
            </w:r>
            <w:r>
              <w:rPr>
                <w:rFonts w:eastAsia="仿宋_GB2312" w:hint="eastAsia"/>
                <w:sz w:val="24"/>
              </w:rPr>
              <w:t>．时间掌控与语言（好</w:t>
            </w:r>
            <w:r>
              <w:rPr>
                <w:rFonts w:eastAsia="仿宋_GB2312"/>
                <w:sz w:val="24"/>
              </w:rPr>
              <w:t>3</w:t>
            </w:r>
            <w:r>
              <w:rPr>
                <w:rFonts w:eastAsia="仿宋_GB2312" w:hint="eastAsia"/>
                <w:sz w:val="24"/>
              </w:rPr>
              <w:t>分，一般</w:t>
            </w:r>
            <w:r>
              <w:rPr>
                <w:rFonts w:eastAsia="仿宋_GB2312"/>
                <w:sz w:val="24"/>
              </w:rPr>
              <w:t>2</w:t>
            </w:r>
            <w:r>
              <w:rPr>
                <w:rFonts w:eastAsia="仿宋_GB2312" w:hint="eastAsia"/>
                <w:sz w:val="24"/>
              </w:rPr>
              <w:t>分，差</w:t>
            </w:r>
            <w:r>
              <w:rPr>
                <w:rFonts w:eastAsia="仿宋_GB2312"/>
                <w:sz w:val="24"/>
              </w:rPr>
              <w:t>1</w:t>
            </w:r>
            <w:r>
              <w:rPr>
                <w:rFonts w:eastAsia="仿宋_GB2312" w:hint="eastAsia"/>
                <w:sz w:val="24"/>
              </w:rPr>
              <w:t>分）</w:t>
            </w:r>
          </w:p>
        </w:tc>
        <w:tc>
          <w:tcPr>
            <w:tcW w:w="1326" w:type="dxa"/>
            <w:tcBorders>
              <w:top w:val="single" w:sz="4" w:space="0" w:color="000000"/>
              <w:left w:val="nil"/>
              <w:bottom w:val="single" w:sz="4" w:space="0" w:color="000000"/>
              <w:right w:val="single" w:sz="4" w:space="0" w:color="000000"/>
            </w:tcBorders>
            <w:vAlign w:val="center"/>
          </w:tcPr>
          <w:p w:rsidR="00F715EC" w:rsidRDefault="00F715EC">
            <w:pPr>
              <w:jc w:val="center"/>
              <w:rPr>
                <w:rFonts w:ascii="Times New Roman" w:eastAsia="仿宋_GB2312" w:hAnsi="Times New Roman"/>
                <w:sz w:val="24"/>
                <w:szCs w:val="24"/>
              </w:rPr>
            </w:pPr>
          </w:p>
        </w:tc>
      </w:tr>
      <w:tr w:rsidR="00F715EC">
        <w:trPr>
          <w:trHeight w:val="737"/>
          <w:jc w:val="center"/>
        </w:trPr>
        <w:tc>
          <w:tcPr>
            <w:tcW w:w="2659" w:type="dxa"/>
            <w:vMerge/>
            <w:tcBorders>
              <w:top w:val="single" w:sz="4" w:space="0" w:color="auto"/>
              <w:left w:val="single" w:sz="4" w:space="0" w:color="auto"/>
              <w:bottom w:val="single" w:sz="4" w:space="0" w:color="auto"/>
              <w:right w:val="single" w:sz="4" w:space="0" w:color="auto"/>
            </w:tcBorders>
            <w:vAlign w:val="center"/>
          </w:tcPr>
          <w:p w:rsidR="00F715EC" w:rsidRDefault="00F715EC">
            <w:pPr>
              <w:rPr>
                <w:rFonts w:ascii="Times New Roman" w:eastAsia="仿宋_GB2312" w:hAnsi="Times New Roman"/>
                <w:b/>
                <w:sz w:val="24"/>
                <w:szCs w:val="24"/>
              </w:rPr>
            </w:pPr>
          </w:p>
        </w:tc>
        <w:tc>
          <w:tcPr>
            <w:tcW w:w="4535" w:type="dxa"/>
            <w:gridSpan w:val="2"/>
            <w:tcBorders>
              <w:top w:val="single" w:sz="4" w:space="0" w:color="000000"/>
              <w:left w:val="single" w:sz="4" w:space="0" w:color="auto"/>
              <w:bottom w:val="single" w:sz="4" w:space="0" w:color="000000"/>
              <w:right w:val="single" w:sz="4" w:space="0" w:color="000000"/>
            </w:tcBorders>
            <w:vAlign w:val="center"/>
          </w:tcPr>
          <w:p w:rsidR="00F715EC" w:rsidRDefault="00F715EC">
            <w:pPr>
              <w:rPr>
                <w:rFonts w:ascii="Times New Roman" w:eastAsia="仿宋_GB2312" w:hAnsi="Times New Roman"/>
                <w:sz w:val="24"/>
                <w:szCs w:val="24"/>
              </w:rPr>
            </w:pPr>
            <w:r>
              <w:rPr>
                <w:rFonts w:eastAsia="仿宋_GB2312"/>
                <w:sz w:val="24"/>
              </w:rPr>
              <w:t>7</w:t>
            </w:r>
            <w:r>
              <w:rPr>
                <w:rFonts w:eastAsia="仿宋_GB2312" w:hint="eastAsia"/>
                <w:sz w:val="24"/>
              </w:rPr>
              <w:t>．礼仪与形象（好</w:t>
            </w:r>
            <w:r>
              <w:rPr>
                <w:rFonts w:eastAsia="仿宋_GB2312"/>
                <w:sz w:val="24"/>
              </w:rPr>
              <w:t>3</w:t>
            </w:r>
            <w:r>
              <w:rPr>
                <w:rFonts w:eastAsia="仿宋_GB2312" w:hint="eastAsia"/>
                <w:sz w:val="24"/>
              </w:rPr>
              <w:t>分，一般</w:t>
            </w:r>
            <w:r>
              <w:rPr>
                <w:rFonts w:eastAsia="仿宋_GB2312"/>
                <w:sz w:val="24"/>
              </w:rPr>
              <w:t>2</w:t>
            </w:r>
            <w:r>
              <w:rPr>
                <w:rFonts w:eastAsia="仿宋_GB2312" w:hint="eastAsia"/>
                <w:sz w:val="24"/>
              </w:rPr>
              <w:t>分，差</w:t>
            </w:r>
            <w:r>
              <w:rPr>
                <w:rFonts w:eastAsia="仿宋_GB2312"/>
                <w:sz w:val="24"/>
              </w:rPr>
              <w:t>1</w:t>
            </w:r>
            <w:r>
              <w:rPr>
                <w:rFonts w:eastAsia="仿宋_GB2312" w:hint="eastAsia"/>
                <w:sz w:val="24"/>
              </w:rPr>
              <w:t>分）</w:t>
            </w:r>
          </w:p>
        </w:tc>
        <w:tc>
          <w:tcPr>
            <w:tcW w:w="1326" w:type="dxa"/>
            <w:tcBorders>
              <w:top w:val="single" w:sz="4" w:space="0" w:color="000000"/>
              <w:left w:val="nil"/>
              <w:bottom w:val="single" w:sz="4" w:space="0" w:color="000000"/>
              <w:right w:val="single" w:sz="4" w:space="0" w:color="000000"/>
            </w:tcBorders>
            <w:vAlign w:val="center"/>
          </w:tcPr>
          <w:p w:rsidR="00F715EC" w:rsidRDefault="00F715EC">
            <w:pPr>
              <w:jc w:val="center"/>
              <w:rPr>
                <w:rFonts w:ascii="Times New Roman" w:eastAsia="仿宋_GB2312" w:hAnsi="Times New Roman"/>
                <w:sz w:val="24"/>
                <w:szCs w:val="24"/>
              </w:rPr>
            </w:pPr>
          </w:p>
        </w:tc>
      </w:tr>
      <w:tr w:rsidR="00F715EC">
        <w:trPr>
          <w:trHeight w:val="737"/>
          <w:jc w:val="center"/>
        </w:trPr>
        <w:tc>
          <w:tcPr>
            <w:tcW w:w="2659" w:type="dxa"/>
            <w:tcBorders>
              <w:top w:val="nil"/>
              <w:left w:val="single" w:sz="4" w:space="0" w:color="auto"/>
              <w:bottom w:val="single" w:sz="4" w:space="0" w:color="auto"/>
              <w:right w:val="single" w:sz="4" w:space="0" w:color="auto"/>
            </w:tcBorders>
            <w:vAlign w:val="center"/>
          </w:tcPr>
          <w:p w:rsidR="00F715EC" w:rsidRDefault="00F715EC">
            <w:pPr>
              <w:ind w:firstLineChars="100" w:firstLine="241"/>
              <w:rPr>
                <w:rFonts w:ascii="Times New Roman" w:eastAsia="仿宋_GB2312" w:hAnsi="Times New Roman"/>
                <w:b/>
                <w:sz w:val="24"/>
                <w:szCs w:val="24"/>
              </w:rPr>
            </w:pPr>
            <w:r>
              <w:rPr>
                <w:rFonts w:eastAsia="仿宋_GB2312" w:hint="eastAsia"/>
                <w:b/>
                <w:sz w:val="24"/>
              </w:rPr>
              <w:t>四、否定项</w:t>
            </w:r>
          </w:p>
        </w:tc>
        <w:tc>
          <w:tcPr>
            <w:tcW w:w="4535" w:type="dxa"/>
            <w:gridSpan w:val="2"/>
            <w:tcBorders>
              <w:top w:val="single" w:sz="4" w:space="0" w:color="000000"/>
              <w:left w:val="single" w:sz="4" w:space="0" w:color="auto"/>
              <w:bottom w:val="single" w:sz="4" w:space="0" w:color="000000"/>
              <w:right w:val="single" w:sz="4" w:space="0" w:color="000000"/>
            </w:tcBorders>
            <w:vAlign w:val="center"/>
          </w:tcPr>
          <w:p w:rsidR="00F715EC" w:rsidRDefault="00F715EC">
            <w:pPr>
              <w:rPr>
                <w:rFonts w:ascii="Times New Roman" w:eastAsia="仿宋_GB2312" w:hAnsi="Times New Roman"/>
                <w:sz w:val="24"/>
                <w:szCs w:val="24"/>
              </w:rPr>
            </w:pPr>
            <w:r>
              <w:rPr>
                <w:rFonts w:eastAsia="仿宋_GB2312" w:hint="eastAsia"/>
                <w:sz w:val="24"/>
              </w:rPr>
              <w:t>在文案汇报过程中，一旦出现任何学校名称、选手姓名等可暴露参赛选手信息的相关信息，该竞赛模块直接记为零分。</w:t>
            </w:r>
          </w:p>
        </w:tc>
        <w:tc>
          <w:tcPr>
            <w:tcW w:w="1326" w:type="dxa"/>
            <w:tcBorders>
              <w:top w:val="single" w:sz="4" w:space="0" w:color="000000"/>
              <w:left w:val="nil"/>
              <w:bottom w:val="single" w:sz="4" w:space="0" w:color="000000"/>
              <w:right w:val="single" w:sz="4" w:space="0" w:color="000000"/>
            </w:tcBorders>
            <w:vAlign w:val="center"/>
          </w:tcPr>
          <w:p w:rsidR="00F715EC" w:rsidRDefault="00F715EC">
            <w:pPr>
              <w:jc w:val="center"/>
              <w:rPr>
                <w:rFonts w:ascii="Times New Roman" w:eastAsia="仿宋_GB2312" w:hAnsi="Times New Roman"/>
                <w:sz w:val="24"/>
                <w:szCs w:val="24"/>
              </w:rPr>
            </w:pPr>
          </w:p>
        </w:tc>
      </w:tr>
    </w:tbl>
    <w:p w:rsidR="00F715EC" w:rsidRDefault="00F715EC">
      <w:pPr>
        <w:widowControl w:val="0"/>
        <w:adjustRightInd/>
        <w:snapToGrid/>
        <w:spacing w:after="0" w:line="600" w:lineRule="exact"/>
        <w:ind w:firstLineChars="200" w:firstLine="643"/>
        <w:rPr>
          <w:rFonts w:ascii="仿宋_GB2312" w:eastAsia="仿宋_GB2312" w:hAnsi="Calibri"/>
          <w:b/>
          <w:kern w:val="2"/>
          <w:sz w:val="32"/>
          <w:szCs w:val="32"/>
        </w:rPr>
      </w:pPr>
      <w:r>
        <w:rPr>
          <w:rFonts w:ascii="仿宋_GB2312" w:eastAsia="仿宋_GB2312" w:hAnsi="Calibri"/>
          <w:b/>
          <w:kern w:val="2"/>
          <w:sz w:val="32"/>
          <w:szCs w:val="32"/>
        </w:rPr>
        <w:t>2</w:t>
      </w:r>
      <w:r>
        <w:rPr>
          <w:rFonts w:ascii="仿宋_GB2312" w:eastAsia="仿宋_GB2312" w:hAnsi="Calibri" w:hint="eastAsia"/>
          <w:b/>
          <w:kern w:val="2"/>
          <w:sz w:val="32"/>
          <w:szCs w:val="32"/>
        </w:rPr>
        <w:t>．情境营销（客观题，</w:t>
      </w:r>
      <w:r>
        <w:rPr>
          <w:rFonts w:ascii="仿宋_GB2312" w:eastAsia="仿宋_GB2312" w:hAnsi="Calibri"/>
          <w:b/>
          <w:kern w:val="2"/>
          <w:sz w:val="32"/>
          <w:szCs w:val="32"/>
        </w:rPr>
        <w:t>75</w:t>
      </w:r>
      <w:r>
        <w:rPr>
          <w:rFonts w:ascii="仿宋_GB2312" w:eastAsia="仿宋_GB2312" w:hAnsi="Calibri" w:hint="eastAsia"/>
          <w:b/>
          <w:kern w:val="2"/>
          <w:sz w:val="32"/>
          <w:szCs w:val="32"/>
        </w:rPr>
        <w:t>分）</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情境营销考察参赛团队市场营销核心技能：目标是市场分析与选择、营销策略组合和财务报表分析的综合应用。每个赛场各队经营三个会计年度关帐后，软件自动生成成绩，成绩</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所有者权益</w:t>
      </w:r>
      <w:r>
        <w:rPr>
          <w:rFonts w:ascii="仿宋_GB2312" w:eastAsia="仿宋_GB2312" w:hAnsi="仿宋_GB2312" w:cs="仿宋_GB2312"/>
          <w:sz w:val="32"/>
          <w:szCs w:val="32"/>
        </w:rPr>
        <w:t>* (1+</w:t>
      </w:r>
      <w:r>
        <w:rPr>
          <w:rFonts w:ascii="仿宋_GB2312" w:eastAsia="仿宋_GB2312" w:hAnsi="仿宋_GB2312" w:cs="仿宋_GB2312" w:hint="eastAsia"/>
          <w:sz w:val="32"/>
          <w:szCs w:val="32"/>
        </w:rPr>
        <w:t>企业综合总分</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。中途破产的队伍按照破产先后顺序进行排序，如果在同一节点破产，则比较所有者权益。根据各队成绩排序，第一名</w:t>
      </w:r>
      <w:r>
        <w:rPr>
          <w:rFonts w:ascii="仿宋_GB2312" w:eastAsia="仿宋_GB2312" w:hAnsi="仿宋_GB2312" w:cs="仿宋_GB2312"/>
          <w:sz w:val="32"/>
          <w:szCs w:val="32"/>
        </w:rPr>
        <w:t>75</w:t>
      </w:r>
      <w:r>
        <w:rPr>
          <w:rFonts w:ascii="仿宋_GB2312" w:eastAsia="仿宋_GB2312" w:hAnsi="仿宋_GB2312" w:cs="仿宋_GB2312" w:hint="eastAsia"/>
          <w:sz w:val="32"/>
          <w:szCs w:val="32"/>
        </w:rPr>
        <w:t>分，按照名次递减</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分，第二名</w:t>
      </w:r>
      <w:r>
        <w:rPr>
          <w:rFonts w:ascii="仿宋_GB2312" w:eastAsia="仿宋_GB2312" w:hAnsi="仿宋_GB2312" w:cs="仿宋_GB2312"/>
          <w:sz w:val="32"/>
          <w:szCs w:val="32"/>
        </w:rPr>
        <w:t>72</w:t>
      </w:r>
      <w:r>
        <w:rPr>
          <w:rFonts w:ascii="仿宋_GB2312" w:eastAsia="仿宋_GB2312" w:hAnsi="仿宋_GB2312" w:cs="仿宋_GB2312" w:hint="eastAsia"/>
          <w:sz w:val="32"/>
          <w:szCs w:val="32"/>
        </w:rPr>
        <w:t>分，依次类推。</w:t>
      </w:r>
    </w:p>
    <w:p w:rsidR="00F715EC" w:rsidRDefault="00F715EC">
      <w:pPr>
        <w:pStyle w:val="1"/>
        <w:spacing w:before="120" w:after="120"/>
        <w:ind w:firstLineChars="150" w:firstLine="482"/>
        <w:rPr>
          <w:b/>
          <w:sz w:val="32"/>
          <w:szCs w:val="32"/>
        </w:rPr>
      </w:pPr>
      <w:r>
        <w:rPr>
          <w:rFonts w:hint="eastAsia"/>
          <w:b/>
          <w:sz w:val="32"/>
          <w:szCs w:val="32"/>
        </w:rPr>
        <w:t>十二、赛场预案</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赛场备用工位：赛场提供占总参赛队伍</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的备用工位。</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现场应急预案详情，如下：</w:t>
      </w:r>
    </w:p>
    <w:p w:rsidR="00F715EC" w:rsidRDefault="00F715EC">
      <w:pPr>
        <w:widowControl w:val="0"/>
        <w:adjustRightInd/>
        <w:snapToGrid/>
        <w:spacing w:after="0" w:line="600" w:lineRule="exact"/>
        <w:ind w:firstLineChars="200" w:firstLine="640"/>
        <w:rPr>
          <w:rFonts w:ascii="楷体" w:eastAsia="楷体" w:hAnsi="楷体"/>
          <w:kern w:val="2"/>
          <w:sz w:val="32"/>
          <w:szCs w:val="32"/>
        </w:rPr>
      </w:pPr>
      <w:r>
        <w:rPr>
          <w:rFonts w:ascii="楷体" w:eastAsia="楷体" w:hAnsi="楷体" w:hint="eastAsia"/>
          <w:kern w:val="2"/>
          <w:sz w:val="32"/>
          <w:szCs w:val="32"/>
        </w:rPr>
        <w:t>（一）服务器问题预案</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若服务器在比赛过程中出现卡顿、死机等情况，参选选手由队长举手示意裁判，在现场裁判与技术支持人员确定情况后，可更换服务器。更换服务器的等待时间，可在比赛结束后延时。</w:t>
      </w:r>
    </w:p>
    <w:p w:rsidR="00F715EC" w:rsidRDefault="00F715EC">
      <w:pPr>
        <w:widowControl w:val="0"/>
        <w:adjustRightInd/>
        <w:snapToGrid/>
        <w:spacing w:after="0" w:line="600" w:lineRule="exact"/>
        <w:ind w:firstLineChars="200" w:firstLine="640"/>
        <w:rPr>
          <w:rFonts w:ascii="楷体" w:eastAsia="楷体" w:hAnsi="楷体"/>
          <w:kern w:val="2"/>
          <w:sz w:val="32"/>
          <w:szCs w:val="32"/>
        </w:rPr>
      </w:pPr>
      <w:r>
        <w:rPr>
          <w:rFonts w:ascii="楷体" w:eastAsia="楷体" w:hAnsi="楷体" w:hint="eastAsia"/>
          <w:kern w:val="2"/>
          <w:sz w:val="32"/>
          <w:szCs w:val="32"/>
        </w:rPr>
        <w:t>（二）交换机问题预案</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若交换机在比赛过程中出现传输速度慢或无故中断等情况，参选选手由队长举手示意裁判，在现场裁判与技术支持人员确定情况后，可更换交换机。更换交换机的等待时间，可在比赛结束后延时。</w:t>
      </w:r>
    </w:p>
    <w:p w:rsidR="00F715EC" w:rsidRDefault="00F715EC">
      <w:pPr>
        <w:widowControl w:val="0"/>
        <w:adjustRightInd/>
        <w:snapToGrid/>
        <w:spacing w:after="0" w:line="600" w:lineRule="exact"/>
        <w:ind w:firstLineChars="200" w:firstLine="640"/>
        <w:rPr>
          <w:rFonts w:ascii="楷体" w:eastAsia="楷体" w:hAnsi="楷体"/>
          <w:kern w:val="2"/>
          <w:sz w:val="32"/>
          <w:szCs w:val="32"/>
        </w:rPr>
      </w:pPr>
      <w:r>
        <w:rPr>
          <w:rFonts w:ascii="楷体" w:eastAsia="楷体" w:hAnsi="楷体" w:hint="eastAsia"/>
          <w:kern w:val="2"/>
          <w:sz w:val="32"/>
          <w:szCs w:val="32"/>
        </w:rPr>
        <w:t>（三）</w:t>
      </w:r>
      <w:r>
        <w:rPr>
          <w:rFonts w:ascii="楷体" w:eastAsia="楷体" w:hAnsi="楷体"/>
          <w:kern w:val="2"/>
          <w:sz w:val="32"/>
          <w:szCs w:val="32"/>
        </w:rPr>
        <w:t>PC</w:t>
      </w:r>
      <w:r>
        <w:rPr>
          <w:rFonts w:ascii="楷体" w:eastAsia="楷体" w:hAnsi="楷体" w:hint="eastAsia"/>
          <w:kern w:val="2"/>
          <w:sz w:val="32"/>
          <w:szCs w:val="32"/>
        </w:rPr>
        <w:t>机问题预案</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若</w:t>
      </w:r>
      <w:r>
        <w:rPr>
          <w:rFonts w:ascii="仿宋_GB2312" w:eastAsia="仿宋_GB2312" w:hAnsi="仿宋_GB2312" w:cs="仿宋_GB2312"/>
          <w:sz w:val="32"/>
          <w:szCs w:val="32"/>
        </w:rPr>
        <w:t>PC</w:t>
      </w:r>
      <w:r>
        <w:rPr>
          <w:rFonts w:ascii="仿宋_GB2312" w:eastAsia="仿宋_GB2312" w:hAnsi="仿宋_GB2312" w:cs="仿宋_GB2312" w:hint="eastAsia"/>
          <w:sz w:val="32"/>
          <w:szCs w:val="32"/>
        </w:rPr>
        <w:t>机在比赛过程中出现死机、蓝屏等现象（重启后无法解决），参赛选手由队长举手示意裁判，在现场裁判与技术支持人员确定情况后，可更换备用工位或更换</w:t>
      </w:r>
      <w:r>
        <w:rPr>
          <w:rFonts w:ascii="仿宋_GB2312" w:eastAsia="仿宋_GB2312" w:hAnsi="仿宋_GB2312" w:cs="仿宋_GB2312"/>
          <w:sz w:val="32"/>
          <w:szCs w:val="32"/>
        </w:rPr>
        <w:t>PC</w:t>
      </w:r>
      <w:r>
        <w:rPr>
          <w:rFonts w:ascii="仿宋_GB2312" w:eastAsia="仿宋_GB2312" w:hAnsi="仿宋_GB2312" w:cs="仿宋_GB2312" w:hint="eastAsia"/>
          <w:sz w:val="32"/>
          <w:szCs w:val="32"/>
        </w:rPr>
        <w:t>机进行答题。</w:t>
      </w:r>
    </w:p>
    <w:p w:rsidR="00F715EC" w:rsidRDefault="00F715EC">
      <w:pPr>
        <w:pStyle w:val="1"/>
        <w:spacing w:before="120" w:after="120"/>
        <w:ind w:firstLineChars="200" w:firstLine="643"/>
        <w:rPr>
          <w:b/>
          <w:sz w:val="32"/>
          <w:szCs w:val="32"/>
        </w:rPr>
      </w:pPr>
      <w:r>
        <w:rPr>
          <w:rFonts w:hint="eastAsia"/>
          <w:b/>
          <w:sz w:val="32"/>
          <w:szCs w:val="32"/>
        </w:rPr>
        <w:t>十三、申诉与仲裁</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各参赛队对不符合大赛和赛项规程规定的仪器、设备、材料、物件、计算机软硬件、竞赛使用工具、用品，竞赛执裁、赛场管理，以及工作人员的不规范行为等，可向仲裁组提出申诉。</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申诉主体为参赛队领队。</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申诉启动时，参赛队以该队领队亲笔签字同意的书面报告的形式递交仲裁组。报告应对申诉事件的现象、发生时间、涉及人员、申诉依据等进行充分、实事求是的叙述。非书面申诉不予受理。</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提出申诉应在赛项比赛结束后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小时内向仲裁组提出。超过时效不予受理。</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仲裁工作组在接到申诉报告后的</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小时内组织复议，并及时将复议结果以书面形式告知申诉方。</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对仲裁组复议结果不服的，可由代表队所在院校校级领导向大赛仲裁委员会提出申诉。大赛仲裁委员会的仲裁结果为最终结果。</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申诉方不得以任何理由拒绝接收仲裁结果；不得以任何理由采取过激行为扰乱赛场秩序；仲裁结果由申诉人签收，不能代收；如在约定时间和地点申诉人离开，视为自行放弃申诉。</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申诉方可随时提出放弃申诉。</w:t>
      </w:r>
    </w:p>
    <w:p w:rsidR="00F715EC" w:rsidRDefault="00F715EC">
      <w:pPr>
        <w:pStyle w:val="1"/>
        <w:spacing w:before="120" w:after="120"/>
        <w:ind w:firstLineChars="200" w:firstLine="643"/>
        <w:rPr>
          <w:b/>
          <w:sz w:val="32"/>
          <w:szCs w:val="32"/>
        </w:rPr>
      </w:pPr>
      <w:r>
        <w:rPr>
          <w:rFonts w:hint="eastAsia"/>
          <w:b/>
          <w:sz w:val="32"/>
          <w:szCs w:val="32"/>
        </w:rPr>
        <w:t>十四、竞赛须知</w:t>
      </w:r>
    </w:p>
    <w:p w:rsidR="00F715EC" w:rsidRDefault="00F715EC">
      <w:pPr>
        <w:widowControl w:val="0"/>
        <w:adjustRightInd/>
        <w:snapToGrid/>
        <w:spacing w:after="0" w:line="600" w:lineRule="exact"/>
        <w:ind w:firstLineChars="200" w:firstLine="640"/>
        <w:rPr>
          <w:rFonts w:ascii="楷体" w:eastAsia="楷体" w:hAnsi="楷体"/>
          <w:kern w:val="2"/>
          <w:sz w:val="32"/>
          <w:szCs w:val="32"/>
        </w:rPr>
      </w:pPr>
      <w:r>
        <w:rPr>
          <w:rFonts w:ascii="楷体" w:eastAsia="楷体" w:hAnsi="楷体" w:hint="eastAsia"/>
          <w:kern w:val="2"/>
          <w:sz w:val="32"/>
          <w:szCs w:val="32"/>
        </w:rPr>
        <w:t>（一）参赛队须知</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团体赛不得跨校组队，同一学校相同项目报名参赛队不超过</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支</w:t>
      </w:r>
      <w:r>
        <w:rPr>
          <w:rFonts w:ascii="仿宋_GB2312" w:eastAsia="仿宋_GB2312" w:hAnsi="仿宋_GB2312" w:cs="仿宋_GB2312"/>
          <w:sz w:val="32"/>
          <w:szCs w:val="32"/>
        </w:rPr>
        <w:t>,</w:t>
      </w:r>
      <w:r>
        <w:rPr>
          <w:rFonts w:ascii="仿宋_GB2312" w:eastAsia="仿宋_GB2312" w:hAnsi="仿宋_GB2312" w:cs="仿宋_GB2312" w:hint="eastAsia"/>
          <w:color w:val="000000"/>
          <w:sz w:val="32"/>
          <w:szCs w:val="32"/>
        </w:rPr>
        <w:t>选手须为全省高等职业院校在职教师，不限制性别、年级</w:t>
      </w:r>
      <w:r>
        <w:rPr>
          <w:rFonts w:ascii="仿宋_GB2312" w:eastAsia="仿宋_GB2312" w:hAnsi="仿宋_GB2312" w:cs="仿宋_GB2312"/>
          <w:color w:val="000000"/>
          <w:sz w:val="32"/>
          <w:szCs w:val="32"/>
        </w:rPr>
        <w:t>,</w:t>
      </w:r>
      <w:r>
        <w:rPr>
          <w:rFonts w:ascii="仿宋_GB2312" w:eastAsia="仿宋_GB2312" w:hAnsi="仿宋_GB2312" w:cs="仿宋_GB2312" w:hint="eastAsia"/>
          <w:sz w:val="32"/>
          <w:szCs w:val="32"/>
        </w:rPr>
        <w:t>每支参赛队由</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名参赛选手组成。</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参赛队应仔细阅读大赛执委会发布的文件内容，确切了解大赛时间安排、评判细节等，以保证顺利参赛；要按执委会统一要求，准时到达赛前说明会现场，会议期间要认真领会会议内容，如有不明之处，可直接向工作人员询问。</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参赛队按照大赛赛程安排，凭大赛执委会颁发的参赛证和有效身份证件参加竞赛及相关活动。</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在比赛期间，遵守大赛举办院校疫情防控要求，佩戴口罩；各参赛队要注意饮食卫生，防止食物中毒；各参赛队要保证所有参赛选手的安全，防止交通事故和其他意外情况的发生。</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参加比赛前要求参赛队为参赛选手购买人身意外伤害保险。</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各参赛队应在竞赛开始前一天规定的时间段进入赛场熟悉环境。入场后，赛场工作人员与参赛选手共同确认操作条件及设备状况。</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凡在竞赛期间提前离开的选手，当天不得返回赛场。</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在竞赛中如遇非人为因素造成的设备故障，经裁判员确认后，可向裁判长申请补足排除故障的时间。</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9.</w:t>
      </w:r>
      <w:r>
        <w:rPr>
          <w:rFonts w:ascii="仿宋_GB2312" w:eastAsia="仿宋_GB2312" w:hAnsi="仿宋_GB2312" w:cs="仿宋_GB2312" w:hint="eastAsia"/>
          <w:sz w:val="32"/>
          <w:szCs w:val="32"/>
        </w:rPr>
        <w:t>本规则没有规定的行为，裁判组有权做出裁决。在有争议的情况下，仲裁工作组的裁决是最终裁决。</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10.</w:t>
      </w:r>
      <w:r>
        <w:rPr>
          <w:rFonts w:ascii="仿宋_GB2312" w:eastAsia="仿宋_GB2312" w:hAnsi="仿宋_GB2312" w:cs="仿宋_GB2312" w:hint="eastAsia"/>
          <w:sz w:val="32"/>
          <w:szCs w:val="32"/>
        </w:rPr>
        <w:t>本竞赛项目的解释权归大赛执委会。</w:t>
      </w:r>
    </w:p>
    <w:p w:rsidR="00F715EC" w:rsidRDefault="00F715EC">
      <w:pPr>
        <w:widowControl w:val="0"/>
        <w:adjustRightInd/>
        <w:snapToGrid/>
        <w:spacing w:after="0" w:line="600" w:lineRule="exact"/>
        <w:ind w:firstLineChars="200" w:firstLine="640"/>
        <w:rPr>
          <w:rFonts w:ascii="楷体" w:eastAsia="楷体" w:hAnsi="楷体"/>
          <w:kern w:val="2"/>
          <w:sz w:val="32"/>
          <w:szCs w:val="32"/>
        </w:rPr>
      </w:pPr>
      <w:r>
        <w:rPr>
          <w:rFonts w:ascii="楷体" w:eastAsia="楷体" w:hAnsi="楷体" w:hint="eastAsia"/>
          <w:kern w:val="2"/>
          <w:sz w:val="32"/>
          <w:szCs w:val="32"/>
        </w:rPr>
        <w:t>（二）工作人员须知</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赛项全体工作人员必须服从执委会统一指挥，要以高度负责的态度做好比赛服务工作，按疫情防控要求全程佩戴口罩。</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全体工作人员要按照工作分区准时到岗，尽职尽责，做好职责工作并做好临时性工作，保证比赛顺利进行。</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全体工作人员必须佩戴标志，认真检查证件，经核对无误后方可允许相关人员进入指定地点。</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如遇突发事件要及时向执委会报告，同时做好疏导工作，避免重大事故发生，确保大赛圆满成功。</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各工作组负责人，要坚守岗位，组织落实本组成员高效率完成各自工作任务，做好监督协调工作。</w:t>
      </w:r>
    </w:p>
    <w:p w:rsidR="00F715EC" w:rsidRDefault="00F715EC">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全体工作人员不得在比赛场内接打电话，以保证赛场设施的正常工作。</w:t>
      </w:r>
    </w:p>
    <w:p w:rsidR="00F715EC" w:rsidRDefault="00F715EC">
      <w:pPr>
        <w:widowControl w:val="0"/>
        <w:adjustRightInd/>
        <w:snapToGrid/>
        <w:spacing w:after="0" w:line="600" w:lineRule="exact"/>
        <w:ind w:firstLineChars="200" w:firstLine="640"/>
        <w:rPr>
          <w:rFonts w:ascii="仿宋_GB2312" w:eastAsia="仿宋_GB2312" w:hAnsi="仿宋_GB2312" w:cs="仿宋_GB2312"/>
          <w:sz w:val="32"/>
          <w:szCs w:val="32"/>
        </w:rPr>
      </w:pPr>
    </w:p>
    <w:sectPr w:rsidR="00F715EC" w:rsidSect="00AC0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826E1A"/>
    <w:multiLevelType w:val="singleLevel"/>
    <w:tmpl w:val="B2826E1A"/>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67A9A"/>
    <w:rsid w:val="0011328D"/>
    <w:rsid w:val="00151312"/>
    <w:rsid w:val="00191A42"/>
    <w:rsid w:val="002028F0"/>
    <w:rsid w:val="00211051"/>
    <w:rsid w:val="00230F1E"/>
    <w:rsid w:val="00297231"/>
    <w:rsid w:val="00322636"/>
    <w:rsid w:val="00323B43"/>
    <w:rsid w:val="00392FF5"/>
    <w:rsid w:val="003D37D8"/>
    <w:rsid w:val="003E17C5"/>
    <w:rsid w:val="003F2C65"/>
    <w:rsid w:val="00426133"/>
    <w:rsid w:val="004358AB"/>
    <w:rsid w:val="004A388C"/>
    <w:rsid w:val="004A44C2"/>
    <w:rsid w:val="004B6B97"/>
    <w:rsid w:val="00524481"/>
    <w:rsid w:val="00594B80"/>
    <w:rsid w:val="00636B56"/>
    <w:rsid w:val="006674B1"/>
    <w:rsid w:val="006821E7"/>
    <w:rsid w:val="006B110E"/>
    <w:rsid w:val="006D1FAA"/>
    <w:rsid w:val="00701D2D"/>
    <w:rsid w:val="007052B8"/>
    <w:rsid w:val="00764376"/>
    <w:rsid w:val="007901C4"/>
    <w:rsid w:val="008158B8"/>
    <w:rsid w:val="008473DA"/>
    <w:rsid w:val="00861950"/>
    <w:rsid w:val="008B33A3"/>
    <w:rsid w:val="008B7726"/>
    <w:rsid w:val="008E03E4"/>
    <w:rsid w:val="008E6C45"/>
    <w:rsid w:val="009726E0"/>
    <w:rsid w:val="0098347B"/>
    <w:rsid w:val="00986CB1"/>
    <w:rsid w:val="009E3FAF"/>
    <w:rsid w:val="00A06C01"/>
    <w:rsid w:val="00A11E26"/>
    <w:rsid w:val="00A47CB2"/>
    <w:rsid w:val="00AC007C"/>
    <w:rsid w:val="00CC08A7"/>
    <w:rsid w:val="00CC4F3D"/>
    <w:rsid w:val="00CE0796"/>
    <w:rsid w:val="00D31D50"/>
    <w:rsid w:val="00E31433"/>
    <w:rsid w:val="00E32A46"/>
    <w:rsid w:val="00F715EC"/>
    <w:rsid w:val="00F90ADD"/>
    <w:rsid w:val="00FC6D0C"/>
    <w:rsid w:val="01D71A1A"/>
    <w:rsid w:val="05DF1BBE"/>
    <w:rsid w:val="0A573252"/>
    <w:rsid w:val="180F6444"/>
    <w:rsid w:val="22F21838"/>
    <w:rsid w:val="248301B7"/>
    <w:rsid w:val="26CC5FD7"/>
    <w:rsid w:val="2A72467C"/>
    <w:rsid w:val="2A832525"/>
    <w:rsid w:val="2F6F777B"/>
    <w:rsid w:val="2FF542AE"/>
    <w:rsid w:val="314A5DF7"/>
    <w:rsid w:val="3A673783"/>
    <w:rsid w:val="3D4132CF"/>
    <w:rsid w:val="3E4A0E54"/>
    <w:rsid w:val="48BA3626"/>
    <w:rsid w:val="4AB36C75"/>
    <w:rsid w:val="4B9949C1"/>
    <w:rsid w:val="4CE05C39"/>
    <w:rsid w:val="50404C03"/>
    <w:rsid w:val="516B12E3"/>
    <w:rsid w:val="52161B3A"/>
    <w:rsid w:val="54DF1AFF"/>
    <w:rsid w:val="56546287"/>
    <w:rsid w:val="627F2C62"/>
    <w:rsid w:val="664B3320"/>
    <w:rsid w:val="69EB5E44"/>
    <w:rsid w:val="7D0762C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07C"/>
    <w:pPr>
      <w:adjustRightInd w:val="0"/>
      <w:snapToGrid w:val="0"/>
      <w:spacing w:after="200"/>
    </w:pPr>
    <w:rPr>
      <w:rFonts w:ascii="Tahoma" w:hAnsi="Tahoma"/>
      <w:kern w:val="0"/>
      <w:sz w:val="22"/>
    </w:rPr>
  </w:style>
  <w:style w:type="paragraph" w:styleId="Heading1">
    <w:name w:val="heading 1"/>
    <w:basedOn w:val="Normal"/>
    <w:next w:val="Normal"/>
    <w:link w:val="Heading1Char"/>
    <w:uiPriority w:val="99"/>
    <w:qFormat/>
    <w:rsid w:val="00AC007C"/>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007C"/>
    <w:rPr>
      <w:rFonts w:ascii="Tahoma" w:hAnsi="Tahoma" w:cs="Times New Roman"/>
      <w:b/>
      <w:bCs/>
      <w:kern w:val="44"/>
      <w:sz w:val="44"/>
      <w:szCs w:val="44"/>
    </w:rPr>
  </w:style>
  <w:style w:type="paragraph" w:styleId="NormalIndent">
    <w:name w:val="Normal Indent"/>
    <w:basedOn w:val="Normal"/>
    <w:uiPriority w:val="99"/>
    <w:rsid w:val="00AC007C"/>
    <w:pPr>
      <w:widowControl w:val="0"/>
      <w:adjustRightInd/>
      <w:snapToGrid/>
      <w:spacing w:after="0"/>
      <w:ind w:firstLine="420"/>
      <w:jc w:val="both"/>
    </w:pPr>
    <w:rPr>
      <w:rFonts w:ascii="Times New Roman" w:eastAsia="宋体" w:hAnsi="Times New Roman"/>
      <w:kern w:val="2"/>
      <w:sz w:val="21"/>
      <w:szCs w:val="20"/>
    </w:rPr>
  </w:style>
  <w:style w:type="paragraph" w:styleId="CommentText">
    <w:name w:val="annotation text"/>
    <w:basedOn w:val="Normal"/>
    <w:link w:val="CommentTextChar"/>
    <w:uiPriority w:val="99"/>
    <w:rsid w:val="00AC007C"/>
    <w:pPr>
      <w:widowControl w:val="0"/>
      <w:adjustRightInd/>
      <w:snapToGrid/>
      <w:spacing w:after="0"/>
    </w:pPr>
    <w:rPr>
      <w:rFonts w:ascii="Times New Roman" w:eastAsia="宋体" w:hAnsi="Times New Roman"/>
      <w:kern w:val="2"/>
      <w:sz w:val="21"/>
      <w:szCs w:val="24"/>
    </w:rPr>
  </w:style>
  <w:style w:type="character" w:customStyle="1" w:styleId="CommentTextChar">
    <w:name w:val="Comment Text Char"/>
    <w:basedOn w:val="DefaultParagraphFont"/>
    <w:link w:val="CommentText"/>
    <w:uiPriority w:val="99"/>
    <w:locked/>
    <w:rsid w:val="00AC007C"/>
    <w:rPr>
      <w:rFonts w:ascii="Times New Roman" w:eastAsia="宋体" w:hAnsi="Times New Roman" w:cs="Times New Roman"/>
      <w:kern w:val="2"/>
      <w:sz w:val="24"/>
      <w:szCs w:val="24"/>
    </w:rPr>
  </w:style>
  <w:style w:type="paragraph" w:styleId="BalloonText">
    <w:name w:val="Balloon Text"/>
    <w:basedOn w:val="Normal"/>
    <w:link w:val="BalloonTextChar"/>
    <w:uiPriority w:val="99"/>
    <w:semiHidden/>
    <w:rsid w:val="00AC007C"/>
    <w:pPr>
      <w:spacing w:after="0"/>
    </w:pPr>
    <w:rPr>
      <w:sz w:val="18"/>
      <w:szCs w:val="18"/>
    </w:rPr>
  </w:style>
  <w:style w:type="character" w:customStyle="1" w:styleId="BalloonTextChar">
    <w:name w:val="Balloon Text Char"/>
    <w:basedOn w:val="DefaultParagraphFont"/>
    <w:link w:val="BalloonText"/>
    <w:uiPriority w:val="99"/>
    <w:semiHidden/>
    <w:locked/>
    <w:rsid w:val="00AC007C"/>
    <w:rPr>
      <w:rFonts w:ascii="Tahoma" w:hAnsi="Tahoma" w:cs="Times New Roman"/>
      <w:sz w:val="18"/>
      <w:szCs w:val="18"/>
    </w:rPr>
  </w:style>
  <w:style w:type="paragraph" w:customStyle="1" w:styleId="1">
    <w:name w:val="样式1"/>
    <w:basedOn w:val="Heading1"/>
    <w:next w:val="Normal"/>
    <w:uiPriority w:val="99"/>
    <w:rsid w:val="00AC007C"/>
    <w:pPr>
      <w:widowControl w:val="0"/>
      <w:spacing w:beforeLines="50" w:afterLines="50" w:line="300" w:lineRule="auto"/>
      <w:jc w:val="both"/>
    </w:pPr>
    <w:rPr>
      <w:rFonts w:ascii="黑体" w:eastAsia="黑体" w:hAnsi="黑体" w:cs="宋体"/>
      <w:b w:val="0"/>
      <w:color w:val="000000"/>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26</Pages>
  <Words>1610</Words>
  <Characters>9179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宝蛋妈妈</dc:creator>
  <cp:keywords/>
  <dc:description/>
  <cp:lastModifiedBy>think</cp:lastModifiedBy>
  <cp:revision>15</cp:revision>
  <dcterms:created xsi:type="dcterms:W3CDTF">2008-09-11T17:20:00Z</dcterms:created>
  <dcterms:modified xsi:type="dcterms:W3CDTF">2021-04-01T03:13:00Z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41F3C04C542C470B98CD4CB6D6B3F782</vt:lpwstr>
  </property>
</Properties>
</file>