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0"/>
        <w:jc w:val="center"/>
        <w:rPr>
          <w:rFonts w:ascii="黑体" w:hAnsi="黑体" w:eastAsia="黑体" w:cs="黑体"/>
          <w:b/>
          <w:sz w:val="48"/>
          <w:szCs w:val="48"/>
        </w:rPr>
      </w:pPr>
    </w:p>
    <w:p>
      <w:pPr>
        <w:pStyle w:val="5"/>
        <w:spacing w:line="360" w:lineRule="auto"/>
        <w:ind w:firstLine="0"/>
        <w:jc w:val="center"/>
        <w:rPr>
          <w:rFonts w:ascii="黑体" w:hAnsi="黑体" w:eastAsia="黑体" w:cs="黑体"/>
          <w:b/>
          <w:sz w:val="48"/>
          <w:szCs w:val="48"/>
        </w:rPr>
      </w:pPr>
    </w:p>
    <w:p>
      <w:pPr>
        <w:pStyle w:val="34"/>
        <w:keepNext w:val="0"/>
        <w:keepLines w:val="0"/>
        <w:rPr>
          <w:sz w:val="44"/>
          <w:szCs w:val="44"/>
        </w:rPr>
      </w:pPr>
      <w:r>
        <w:rPr>
          <w:sz w:val="44"/>
          <w:szCs w:val="44"/>
        </w:rPr>
        <w:t>2021</w:t>
      </w:r>
      <w:r>
        <w:rPr>
          <w:rFonts w:hint="eastAsia"/>
          <w:sz w:val="44"/>
          <w:szCs w:val="44"/>
        </w:rPr>
        <w:t>年全省职业院校技能大赛</w:t>
      </w:r>
    </w:p>
    <w:p>
      <w:pPr>
        <w:pStyle w:val="34"/>
        <w:keepNext w:val="0"/>
        <w:keepLines w:val="0"/>
        <w:rPr>
          <w:rFonts w:hint="eastAsia" w:eastAsia="黑体"/>
          <w:sz w:val="44"/>
          <w:szCs w:val="44"/>
          <w:lang w:val="en-US" w:eastAsia="zh-CN"/>
        </w:rPr>
      </w:pPr>
      <w:r>
        <w:rPr>
          <w:rFonts w:hint="eastAsia"/>
          <w:sz w:val="44"/>
          <w:szCs w:val="44"/>
        </w:rPr>
        <w:t>直播运营推广赛项</w:t>
      </w:r>
      <w:r>
        <w:rPr>
          <w:rFonts w:hint="eastAsia"/>
          <w:sz w:val="44"/>
          <w:szCs w:val="44"/>
          <w:lang w:val="en-US" w:eastAsia="zh-CN"/>
        </w:rPr>
        <w:t>高职学生组</w:t>
      </w:r>
      <w:bookmarkStart w:id="0" w:name="_GoBack"/>
      <w:bookmarkEnd w:id="0"/>
    </w:p>
    <w:p>
      <w:pPr>
        <w:jc w:val="center"/>
        <w:rPr>
          <w:rFonts w:ascii="黑体" w:hAnsi="黑体" w:eastAsia="黑体" w:cs="黑体"/>
          <w:b/>
          <w:sz w:val="48"/>
          <w:szCs w:val="48"/>
        </w:rPr>
      </w:pPr>
    </w:p>
    <w:p>
      <w:pPr>
        <w:rPr>
          <w:rFonts w:ascii="黑体" w:hAnsi="黑体" w:eastAsia="黑体" w:cs="黑体"/>
          <w:b/>
          <w:sz w:val="48"/>
          <w:szCs w:val="48"/>
        </w:rPr>
      </w:pPr>
    </w:p>
    <w:p>
      <w:pPr>
        <w:jc w:val="center"/>
        <w:rPr>
          <w:rFonts w:ascii="黑体" w:hAnsi="黑体" w:eastAsia="黑体" w:cs="黑体"/>
          <w:b/>
          <w:sz w:val="48"/>
          <w:szCs w:val="48"/>
        </w:rPr>
      </w:pPr>
      <w:r>
        <w:rPr>
          <w:rFonts w:hint="eastAsia" w:ascii="黑体" w:hAnsi="黑体" w:eastAsia="黑体" w:cs="黑体"/>
          <w:b/>
          <w:sz w:val="48"/>
          <w:szCs w:val="48"/>
        </w:rPr>
        <w:t>赛</w:t>
      </w:r>
    </w:p>
    <w:p>
      <w:pPr>
        <w:jc w:val="center"/>
        <w:rPr>
          <w:rFonts w:ascii="黑体" w:hAnsi="黑体" w:eastAsia="黑体" w:cs="黑体"/>
          <w:b/>
          <w:sz w:val="48"/>
          <w:szCs w:val="48"/>
        </w:rPr>
      </w:pPr>
      <w:r>
        <w:rPr>
          <w:rFonts w:hint="eastAsia" w:ascii="黑体" w:hAnsi="黑体" w:eastAsia="黑体" w:cs="黑体"/>
          <w:b/>
          <w:sz w:val="48"/>
          <w:szCs w:val="48"/>
        </w:rPr>
        <w:t>项</w:t>
      </w:r>
    </w:p>
    <w:p>
      <w:pPr>
        <w:jc w:val="center"/>
        <w:rPr>
          <w:rFonts w:ascii="黑体" w:hAnsi="黑体" w:eastAsia="黑体" w:cs="黑体"/>
          <w:b/>
          <w:sz w:val="48"/>
          <w:szCs w:val="48"/>
        </w:rPr>
      </w:pPr>
      <w:r>
        <w:rPr>
          <w:rFonts w:hint="eastAsia" w:ascii="黑体" w:hAnsi="黑体" w:eastAsia="黑体" w:cs="黑体"/>
          <w:b/>
          <w:sz w:val="48"/>
          <w:szCs w:val="48"/>
        </w:rPr>
        <w:t>规</w:t>
      </w:r>
    </w:p>
    <w:p>
      <w:pPr>
        <w:jc w:val="center"/>
        <w:rPr>
          <w:rFonts w:ascii="黑体" w:hAnsi="黑体" w:eastAsia="黑体" w:cs="黑体"/>
          <w:b/>
          <w:sz w:val="48"/>
          <w:szCs w:val="48"/>
        </w:rPr>
      </w:pPr>
      <w:r>
        <w:rPr>
          <w:rFonts w:hint="eastAsia" w:ascii="黑体" w:hAnsi="黑体" w:eastAsia="黑体" w:cs="黑体"/>
          <w:b/>
          <w:sz w:val="48"/>
          <w:szCs w:val="48"/>
        </w:rPr>
        <w:t>程</w:t>
      </w:r>
    </w:p>
    <w:p/>
    <w:p/>
    <w:p/>
    <w:p/>
    <w:p/>
    <w:p/>
    <w:p>
      <w:pPr>
        <w:pStyle w:val="5"/>
        <w:spacing w:line="360" w:lineRule="auto"/>
        <w:ind w:firstLine="904" w:firstLineChars="250"/>
        <w:jc w:val="center"/>
        <w:rPr>
          <w:b/>
          <w:sz w:val="36"/>
          <w:szCs w:val="36"/>
        </w:rPr>
      </w:pPr>
    </w:p>
    <w:p>
      <w:pPr>
        <w:pStyle w:val="5"/>
        <w:spacing w:line="360" w:lineRule="auto"/>
        <w:ind w:firstLine="904" w:firstLineChars="250"/>
        <w:jc w:val="center"/>
        <w:rPr>
          <w:b/>
          <w:sz w:val="36"/>
          <w:szCs w:val="36"/>
        </w:rPr>
      </w:pPr>
    </w:p>
    <w:p>
      <w:pPr>
        <w:pStyle w:val="5"/>
        <w:spacing w:line="360" w:lineRule="auto"/>
        <w:ind w:firstLine="904" w:firstLineChars="250"/>
        <w:jc w:val="center"/>
        <w:rPr>
          <w:b/>
          <w:sz w:val="36"/>
          <w:szCs w:val="36"/>
        </w:rPr>
      </w:pPr>
    </w:p>
    <w:p>
      <w:pPr>
        <w:pStyle w:val="5"/>
        <w:spacing w:line="360" w:lineRule="auto"/>
        <w:ind w:firstLine="904" w:firstLineChars="250"/>
        <w:jc w:val="center"/>
        <w:rPr>
          <w:b/>
          <w:sz w:val="36"/>
          <w:szCs w:val="36"/>
        </w:rPr>
      </w:pPr>
    </w:p>
    <w:p>
      <w:pPr>
        <w:pStyle w:val="5"/>
        <w:spacing w:line="360" w:lineRule="auto"/>
        <w:ind w:firstLine="600" w:firstLineChars="250"/>
        <w:jc w:val="center"/>
        <w:rPr>
          <w:sz w:val="24"/>
          <w:szCs w:val="24"/>
        </w:rPr>
      </w:pPr>
    </w:p>
    <w:p>
      <w:pPr>
        <w:pStyle w:val="5"/>
        <w:spacing w:line="360" w:lineRule="auto"/>
        <w:ind w:firstLine="0"/>
        <w:jc w:val="center"/>
        <w:rPr>
          <w:rFonts w:ascii="黑体" w:hAnsi="黑体" w:eastAsia="黑体" w:cs="黑体"/>
          <w:sz w:val="36"/>
          <w:szCs w:val="36"/>
        </w:rPr>
      </w:pPr>
      <w:r>
        <w:rPr>
          <w:rFonts w:hint="eastAsia" w:ascii="黑体" w:hAnsi="黑体" w:eastAsia="黑体" w:cs="黑体"/>
          <w:sz w:val="36"/>
          <w:szCs w:val="36"/>
        </w:rPr>
        <w:t>二〇二一年三月</w:t>
      </w:r>
    </w:p>
    <w:p>
      <w:pPr>
        <w:pStyle w:val="5"/>
        <w:spacing w:line="360" w:lineRule="auto"/>
        <w:ind w:firstLine="0"/>
        <w:jc w:val="center"/>
        <w:rPr>
          <w:rFonts w:ascii="黑体" w:hAnsi="黑体" w:eastAsia="黑体" w:cs="黑体"/>
          <w:sz w:val="36"/>
          <w:szCs w:val="36"/>
        </w:rPr>
      </w:pPr>
    </w:p>
    <w:p>
      <w:pPr>
        <w:pStyle w:val="5"/>
        <w:spacing w:line="360" w:lineRule="auto"/>
        <w:ind w:firstLine="0"/>
        <w:jc w:val="center"/>
        <w:rPr>
          <w:rFonts w:ascii="黑体" w:hAnsi="黑体" w:eastAsia="黑体" w:cs="黑体"/>
          <w:sz w:val="36"/>
          <w:szCs w:val="36"/>
        </w:rPr>
      </w:pPr>
    </w:p>
    <w:p>
      <w:pPr>
        <w:pStyle w:val="5"/>
        <w:spacing w:line="360" w:lineRule="auto"/>
        <w:ind w:firstLine="0"/>
        <w:jc w:val="center"/>
        <w:rPr>
          <w:rFonts w:ascii="黑体" w:hAnsi="黑体" w:eastAsia="黑体" w:cs="黑体"/>
          <w:sz w:val="36"/>
          <w:szCs w:val="36"/>
        </w:rPr>
      </w:pPr>
    </w:p>
    <w:p>
      <w:pPr>
        <w:pStyle w:val="5"/>
        <w:spacing w:line="360" w:lineRule="auto"/>
        <w:ind w:firstLine="0"/>
        <w:sectPr>
          <w:footerReference r:id="rId4" w:type="first"/>
          <w:headerReference r:id="rId3" w:type="default"/>
          <w:pgSz w:w="11910" w:h="16840"/>
          <w:pgMar w:top="1440" w:right="1800" w:bottom="1440" w:left="1800" w:header="0" w:footer="1121" w:gutter="0"/>
          <w:cols w:space="720" w:num="1"/>
          <w:docGrid w:linePitch="286" w:charSpace="0"/>
        </w:sectPr>
      </w:pPr>
    </w:p>
    <w:p>
      <w:pPr>
        <w:pStyle w:val="44"/>
        <w:spacing w:before="156" w:after="156"/>
        <w:ind w:firstLine="643" w:firstLineChars="200"/>
        <w:rPr>
          <w:b/>
          <w:sz w:val="32"/>
          <w:szCs w:val="32"/>
        </w:rPr>
      </w:pPr>
      <w:r>
        <w:rPr>
          <w:rFonts w:hint="eastAsia"/>
          <w:b/>
          <w:sz w:val="32"/>
          <w:szCs w:val="32"/>
        </w:rPr>
        <w:t>一、赛项名称</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赛项名称：直播运营推广</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赛项组别：高职组</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赛项归属产业：现代服务业</w:t>
      </w:r>
    </w:p>
    <w:p>
      <w:pPr>
        <w:pStyle w:val="44"/>
        <w:spacing w:before="156" w:after="156"/>
        <w:ind w:firstLine="643" w:firstLineChars="200"/>
        <w:rPr>
          <w:b/>
          <w:sz w:val="32"/>
          <w:szCs w:val="32"/>
        </w:rPr>
      </w:pPr>
      <w:r>
        <w:rPr>
          <w:rFonts w:hint="eastAsia"/>
          <w:b/>
          <w:sz w:val="32"/>
          <w:szCs w:val="32"/>
        </w:rPr>
        <w:t>二、竞赛目的</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赛项以直播与新媒体运营推广两项典型工作任务的完成质量以及选手的职业素养作为竞赛内容，全面考察选手的商品采编能力、视觉营销能力、网络营销能力、客户服务能力、网店运营能力以及团队合作能力。</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赛项对接产业前沿技术，响应国家号召融合</w:t>
      </w:r>
      <w:r>
        <w:rPr>
          <w:rFonts w:ascii="仿宋_GB2312" w:hAnsi="仿宋_GB2312" w:eastAsia="仿宋_GB2312" w:cs="仿宋_GB2312"/>
          <w:sz w:val="32"/>
          <w:szCs w:val="32"/>
        </w:rPr>
        <w:t>1+X</w:t>
      </w:r>
      <w:r>
        <w:rPr>
          <w:rFonts w:hint="eastAsia" w:ascii="仿宋_GB2312" w:hAnsi="仿宋_GB2312" w:eastAsia="仿宋_GB2312" w:cs="仿宋_GB2312"/>
          <w:sz w:val="32"/>
          <w:szCs w:val="32"/>
        </w:rPr>
        <w:t>元素，促进大数据技术和移动商务技术在高职电子商务专业中的教学应用，引领职业院校专业建设与课程改革。通过竞赛，考察参赛选手职业道德、职业素养、技术技能水平和创业能力，展示职业教育改革成果，全面提升教学质量，推动电子商务从业人才整体水平的提升，激发大学生电子商务创业热情，推动“大众创业、万众创新”在高等职业教育中落地实施。</w:t>
      </w:r>
    </w:p>
    <w:p>
      <w:pPr>
        <w:pStyle w:val="44"/>
        <w:spacing w:before="156" w:after="156"/>
        <w:ind w:firstLine="643" w:firstLineChars="200"/>
        <w:rPr>
          <w:b/>
          <w:sz w:val="32"/>
          <w:szCs w:val="32"/>
        </w:rPr>
      </w:pPr>
      <w:r>
        <w:rPr>
          <w:rFonts w:hint="eastAsia"/>
          <w:b/>
          <w:sz w:val="32"/>
          <w:szCs w:val="32"/>
        </w:rPr>
        <w:t>三、竞赛内容</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直播运营推广竞赛包括直播、新媒体营销两项竞赛内容。</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直播：包含微店开设和手机直播。在竞赛规定时间内，通过手机</w:t>
      </w:r>
      <w:r>
        <w:rPr>
          <w:rFonts w:ascii="仿宋_GB2312" w:hAnsi="仿宋_GB2312" w:eastAsia="仿宋_GB2312" w:cs="仿宋_GB2312"/>
          <w:sz w:val="32"/>
          <w:szCs w:val="32"/>
        </w:rPr>
        <w:t>APP</w:t>
      </w:r>
      <w:r>
        <w:rPr>
          <w:rFonts w:hint="eastAsia" w:ascii="仿宋_GB2312" w:hAnsi="仿宋_GB2312" w:eastAsia="仿宋_GB2312" w:cs="仿宋_GB2312"/>
          <w:sz w:val="32"/>
          <w:szCs w:val="32"/>
        </w:rPr>
        <w:t>选择手机内竞赛商品的相关图片组成</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套完整的商品购买页面，完成商品标题的设置、价格的设置等操作，完成微店的开设。微店开设完成后，开启手机直播，关联</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个直播商品，完成</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分钟不间断直播。</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新媒体营销：根据竞赛平台流程，完成微信、微博端的账号注册、营销活动、数据分析工作。</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（一）直播（样题）</w:t>
      </w:r>
    </w:p>
    <w:p>
      <w:pPr>
        <w:pStyle w:val="5"/>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背景资料</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方圆是一名电子商务专业的学生，为了能将专业知识和技能学以致用，利用业余时间开了一家网店，主要销售自家种植的水果和蔬菜，同时也联合了家中有种植果蔬的同学，一起在网上销售，于是店铺商品汇聚了各地的特色果蔬，满足了更多买家的需求。由于蔬果质量上乘，店铺回头客也很多，所以日常销量还是不错的。明天正好是店铺开店一周年，方圆打算进行一场直播，精心挑选了两款福利商品，回馈店铺的新老粉丝。</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请你以方圆的身份，根据背景介绍以及商品资料，在</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小时内策划一场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分钟的直播，并进行直播演示。</w:t>
      </w:r>
    </w:p>
    <w:p>
      <w:pPr>
        <w:pStyle w:val="5"/>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第二部分</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百色芒果介绍</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百色芒果是中国国家地理标志产品，而且是纯天然绿色水果，不打药不施化肥，果肉细腻厚实，果汁清甜醇香。百色芒果虽然个头不大，但却蕴藏着巨大的美味，好吃到停不下来。</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商品特点：</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百色芒果外观靓丽、香气浓郁、味道甘甜、品质优良，果实皮色新鲜，着色良好有光泽，外观亮丽，果粉较厚；果肉呈黄至橙黄色，核小肉厚，肉质嫩滑，纤维少，口感清甜爽口。</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产地环境：</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百色市隶属于广西省，位于云贵高原东南缘，地形以山地丘陵为主。受到亚热带季风气候影响，全年平均气温</w:t>
      </w:r>
      <w:r>
        <w:rPr>
          <w:rFonts w:ascii="仿宋_GB2312" w:hAnsi="仿宋_GB2312" w:eastAsia="仿宋_GB2312" w:cs="仿宋_GB2312"/>
          <w:sz w:val="32"/>
          <w:szCs w:val="32"/>
        </w:rPr>
        <w:t>22.1</w:t>
      </w:r>
      <w:r>
        <w:rPr>
          <w:rFonts w:hint="eastAsia" w:ascii="仿宋_GB2312" w:hAnsi="仿宋_GB2312" w:eastAsia="仿宋_GB2312" w:cs="仿宋_GB2312"/>
          <w:sz w:val="32"/>
          <w:szCs w:val="32"/>
        </w:rPr>
        <w:t>℃。好山好水好气候，这样的环境和天然条件是芒果生长的天然摇篮，这块滋润的土地为百色芒果的生长成熟、结成硕果创造了最好的条件。</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商品荣誉：</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“百色芒果”产区田阳县、田东县和右江区先后被授予“中国芒果之乡”称号，并通过无公害水果产地认定；田东县获“广西无公害农商品﹙芒果﹚生产示范基地县”称号；“百色芒果”的台农</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号、红金煌和桂热</w:t>
      </w:r>
      <w:r>
        <w:rPr>
          <w:rFonts w:ascii="仿宋_GB2312" w:hAnsi="仿宋_GB2312" w:eastAsia="仿宋_GB2312" w:cs="仿宋_GB2312"/>
          <w:sz w:val="32"/>
          <w:szCs w:val="32"/>
        </w:rPr>
        <w:t>82</w:t>
      </w:r>
      <w:r>
        <w:rPr>
          <w:rFonts w:hint="eastAsia" w:ascii="仿宋_GB2312" w:hAnsi="仿宋_GB2312" w:eastAsia="仿宋_GB2312" w:cs="仿宋_GB2312"/>
          <w:sz w:val="32"/>
          <w:szCs w:val="32"/>
        </w:rPr>
        <w:t>号等品种均获“广西优质商品”称号。</w:t>
      </w:r>
      <w:r>
        <w:rPr>
          <w:rFonts w:ascii="仿宋_GB2312" w:hAnsi="仿宋_GB2312" w:eastAsia="仿宋_GB2312" w:cs="仿宋_GB2312"/>
          <w:sz w:val="32"/>
          <w:szCs w:val="32"/>
        </w:rPr>
        <w:t xml:space="preserve"> </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日，百色芒果入选中国农业品牌目录。</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食疗保健：</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．食用芒果具有清肠胃的功效，对于晕车、晕船有一定的止吐作用。</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．抗癌。据现代食疗观点而言，芒果含有大量的维生素</w:t>
      </w:r>
      <w:r>
        <w:rPr>
          <w:rFonts w:ascii="仿宋_GB2312" w:hAnsi="仿宋_GB2312" w:eastAsia="仿宋_GB2312" w:cs="仿宋_GB2312"/>
          <w:sz w:val="32"/>
          <w:szCs w:val="32"/>
        </w:rPr>
        <w:t>A</w:t>
      </w:r>
      <w:r>
        <w:rPr>
          <w:rFonts w:hint="eastAsia" w:ascii="仿宋_GB2312" w:hAnsi="仿宋_GB2312" w:eastAsia="仿宋_GB2312" w:cs="仿宋_GB2312"/>
          <w:sz w:val="32"/>
          <w:szCs w:val="32"/>
        </w:rPr>
        <w:t>，因此具有防癌、抗癌的作用。</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．美化肌肤。由于芒果中含有大量的维生素，因此经常食用芒果，可以起到滋润肌肤的作用。</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．防治高血压、动脉硬化。芒果含有营养素及维生素</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、矿物质等，有防止动脉硬化及高血压的食疗作用。</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商品催熟：</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为了保证运输途中不会磕碰和损坏，我们发出的都是</w:t>
      </w:r>
      <w:r>
        <w:rPr>
          <w:rFonts w:ascii="仿宋_GB2312" w:hAnsi="仿宋_GB2312" w:eastAsia="仿宋_GB2312" w:cs="仿宋_GB2312"/>
          <w:sz w:val="32"/>
          <w:szCs w:val="32"/>
        </w:rPr>
        <w:t>6-7</w:t>
      </w:r>
      <w:r>
        <w:rPr>
          <w:rFonts w:hint="eastAsia" w:ascii="仿宋_GB2312" w:hAnsi="仿宋_GB2312" w:eastAsia="仿宋_GB2312" w:cs="仿宋_GB2312"/>
          <w:sz w:val="32"/>
          <w:szCs w:val="32"/>
        </w:rPr>
        <w:t>成熟的果子，不熟的芒果呈现绿色，收到货若有不熟的芒果，可把香蕉和芒果放在密封的一个袋子里催熟，等到芒果呈现黄色且能闻到果香时就可以食用了。</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储存方式：</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芒果放入冰箱</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℃冷藏，大约可放</w:t>
      </w:r>
      <w:r>
        <w:rPr>
          <w:rFonts w:ascii="仿宋_GB2312" w:hAnsi="仿宋_GB2312" w:eastAsia="仿宋_GB2312" w:cs="仿宋_GB2312"/>
          <w:sz w:val="32"/>
          <w:szCs w:val="32"/>
        </w:rPr>
        <w:t>5-10</w:t>
      </w:r>
      <w:r>
        <w:rPr>
          <w:rFonts w:hint="eastAsia" w:ascii="仿宋_GB2312" w:hAnsi="仿宋_GB2312" w:eastAsia="仿宋_GB2312" w:cs="仿宋_GB2312"/>
          <w:sz w:val="32"/>
          <w:szCs w:val="32"/>
        </w:rPr>
        <w:t>天；如常温下储存的话，每个都用纸包起来，放在阴凉通风的地方。</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销售信息：</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日常促销</w:t>
      </w:r>
      <w:r>
        <w:rPr>
          <w:rFonts w:ascii="仿宋_GB2312" w:hAnsi="仿宋_GB2312" w:eastAsia="仿宋_GB2312" w:cs="仿宋_GB2312"/>
          <w:sz w:val="32"/>
          <w:szCs w:val="32"/>
        </w:rPr>
        <w:t>39.9</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斤，本直播间促销价</w:t>
      </w:r>
      <w:r>
        <w:rPr>
          <w:rFonts w:ascii="仿宋_GB2312" w:hAnsi="仿宋_GB2312" w:eastAsia="仿宋_GB2312" w:cs="仿宋_GB2312"/>
          <w:sz w:val="32"/>
          <w:szCs w:val="32"/>
        </w:rPr>
        <w:t>23.9</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斤，包邮且坏果包赔。直播间优惠价格持续时间为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分钟，只有关注主播，然后点击直播间的商品链接并且在规定的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分钟内拍下才可以享受此价格，每人最多可以拍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份，共</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份。</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物流信息：</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顺丰空运，一般地区发货后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天到达，偏远地区</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天。</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关于售后：</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．生鲜商品不适合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天无理由退货。</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．收到产品后请检查包装是否完好，如有损坏，请将问题产品与快递单一起拍照于</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小时内联系客服进行赔付。</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．鲜果在运输中会有一定的水分的流失，</w:t>
      </w:r>
      <w:r>
        <w:rPr>
          <w:rFonts w:ascii="仿宋_GB2312" w:hAnsi="仿宋_GB2312" w:eastAsia="仿宋_GB2312" w:cs="仿宋_GB2312"/>
          <w:sz w:val="32"/>
          <w:szCs w:val="32"/>
        </w:rPr>
        <w:t>100g</w:t>
      </w:r>
      <w:r>
        <w:rPr>
          <w:rFonts w:hint="eastAsia" w:ascii="仿宋_GB2312" w:hAnsi="仿宋_GB2312" w:eastAsia="仿宋_GB2312" w:cs="仿宋_GB2312"/>
          <w:sz w:val="32"/>
          <w:szCs w:val="32"/>
        </w:rPr>
        <w:t>以内为正常，不在理赔范围内；重量差额超过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克的请在</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小时内联系客服进行赔付。</w:t>
      </w:r>
    </w:p>
    <w:p>
      <w:pPr>
        <w:pStyle w:val="5"/>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第三部分</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妃子笑荔枝介绍</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妃子笑是荔枝的一个品种，别名落塘蒲、玉荷包。该品种果大、肉厚、色美、核小、味甜，品质风味优良，主要分布在广东、广西等地区。</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名字来源：</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妃子笑作为荔枝的一个品种，其由来是这样的：</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杨贵妃号称中国四大美女之一，唐玄宗李隆基是中国历史上有名的风流皇帝。两人相逢，自然留下很多脍炙人口的佳话。杨贵妃喜欢吃荔枝，到了成熟的季节，要求每天都能吃到新鲜荔枝。但荔枝产于南方，多在两广、福建、四川、台湾等地。但唐朝的都城却在西安，离最近的荔枝产地尚有千里之遥，加上鲜荔枝难以保存，“一离本枝，一日而变色，二日而变香，三日而变味，四五日外色香味尽去矣。”唐玄宗为了杨贵妃，用快马日夜不停地运送，常常味道不变就已达京师。晚唐诗人杜牧有一首绝句，题目叫《过华清宫》，中间有名句专门写此事：“一骑红尘妃子笑，无人知是荔枝来。”妃子笑荔枝也是由此而得名的。</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商品特点：</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妃子笑是精选的荔枝，荔枝看上去个大、饱满、颜色对比特别明显，经常是一颗荔枝上红一块绿一块的，别看整体颜色发绿，其实很甜，核很小。果实近圆形或卵圆形，果中大，单果重</w:t>
      </w:r>
      <w:r>
        <w:rPr>
          <w:rFonts w:ascii="仿宋_GB2312" w:hAnsi="仿宋_GB2312" w:eastAsia="仿宋_GB2312" w:cs="仿宋_GB2312"/>
          <w:sz w:val="32"/>
          <w:szCs w:val="32"/>
        </w:rPr>
        <w:t xml:space="preserve"> 23.5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31.5</w:t>
      </w:r>
      <w:r>
        <w:rPr>
          <w:rFonts w:hint="eastAsia" w:ascii="仿宋_GB2312" w:hAnsi="仿宋_GB2312" w:eastAsia="仿宋_GB2312" w:cs="仿宋_GB2312"/>
          <w:sz w:val="32"/>
          <w:szCs w:val="32"/>
        </w:rPr>
        <w:t>克，果皮淡红色、薄；果肉白蜡色，肉厚，质爽脆，多汁，味清甜带香；可食率</w:t>
      </w:r>
      <w:r>
        <w:rPr>
          <w:rFonts w:ascii="仿宋_GB2312" w:hAnsi="仿宋_GB2312" w:eastAsia="仿宋_GB2312" w:cs="仿宋_GB2312"/>
          <w:sz w:val="32"/>
          <w:szCs w:val="32"/>
        </w:rPr>
        <w:t>77.1%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82.5%</w:t>
      </w:r>
      <w:r>
        <w:rPr>
          <w:rFonts w:hint="eastAsia" w:ascii="仿宋_GB2312" w:hAnsi="仿宋_GB2312" w:eastAsia="仿宋_GB2312" w:cs="仿宋_GB2312"/>
          <w:sz w:val="32"/>
          <w:szCs w:val="32"/>
        </w:rPr>
        <w:t>，可溶性固形物</w:t>
      </w:r>
      <w:r>
        <w:rPr>
          <w:rFonts w:ascii="仿宋_GB2312" w:hAnsi="仿宋_GB2312" w:eastAsia="仿宋_GB2312" w:cs="仿宋_GB2312"/>
          <w:sz w:val="32"/>
          <w:szCs w:val="32"/>
        </w:rPr>
        <w:t xml:space="preserve"> 17.1%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20.5%</w:t>
      </w:r>
      <w:r>
        <w:rPr>
          <w:rFonts w:hint="eastAsia" w:ascii="仿宋_GB2312" w:hAnsi="仿宋_GB2312" w:eastAsia="仿宋_GB2312" w:cs="仿宋_GB2312"/>
          <w:sz w:val="32"/>
          <w:szCs w:val="32"/>
        </w:rPr>
        <w:t>，酸含量</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0.34</w:t>
      </w:r>
      <w:r>
        <w:rPr>
          <w:rFonts w:hint="eastAsia" w:ascii="仿宋_GB2312" w:hAnsi="仿宋_GB2312" w:eastAsia="仿宋_GB2312" w:cs="仿宋_GB2312"/>
          <w:sz w:val="32"/>
          <w:szCs w:val="32"/>
        </w:rPr>
        <w:t>克</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毫升。</w:t>
      </w:r>
      <w:r>
        <w:rPr>
          <w:rFonts w:ascii="仿宋_GB2312" w:hAnsi="仿宋_GB2312" w:eastAsia="仿宋_GB2312" w:cs="仿宋_GB2312"/>
          <w:sz w:val="32"/>
          <w:szCs w:val="32"/>
        </w:rPr>
        <w:t xml:space="preserve"> </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储存方式：</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荔枝可以放入冰箱冷藏，但是尽量用保鲜膜包裹，一是为了避免冰箱中的厌氧菌侵袭，二是有了保鲜膜的包裹，荔枝的营养物质不容易流失。一般情况下，</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℃可以存放</w:t>
      </w:r>
      <w:r>
        <w:rPr>
          <w:rFonts w:ascii="仿宋_GB2312" w:hAnsi="仿宋_GB2312" w:eastAsia="仿宋_GB2312" w:cs="仿宋_GB2312"/>
          <w:sz w:val="32"/>
          <w:szCs w:val="32"/>
        </w:rPr>
        <w:t>5-7</w:t>
      </w:r>
      <w:r>
        <w:rPr>
          <w:rFonts w:hint="eastAsia" w:ascii="仿宋_GB2312" w:hAnsi="仿宋_GB2312" w:eastAsia="仿宋_GB2312" w:cs="仿宋_GB2312"/>
          <w:sz w:val="32"/>
          <w:szCs w:val="32"/>
        </w:rPr>
        <w:t>天。</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如果条件不允许，可以在荔枝上喷一下水，拿湿毛巾盖住放到阴凉处，或者将荔枝用塑料袋包裹严实后直接浸泡到水中，也能起到不错的保鲜效果。</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销售信息：</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日常促销</w:t>
      </w:r>
      <w:r>
        <w:rPr>
          <w:rFonts w:ascii="仿宋_GB2312" w:hAnsi="仿宋_GB2312" w:eastAsia="仿宋_GB2312" w:cs="仿宋_GB2312"/>
          <w:sz w:val="32"/>
          <w:szCs w:val="32"/>
        </w:rPr>
        <w:t>39.9</w:t>
      </w:r>
      <w:r>
        <w:rPr>
          <w:rFonts w:hint="eastAsia" w:ascii="仿宋_GB2312" w:hAnsi="仿宋_GB2312" w:eastAsia="仿宋_GB2312" w:cs="仿宋_GB2312"/>
          <w:sz w:val="32"/>
          <w:szCs w:val="32"/>
        </w:rPr>
        <w:t>元一箱，</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斤，本直播间促销价</w:t>
      </w:r>
      <w:r>
        <w:rPr>
          <w:rFonts w:ascii="仿宋_GB2312" w:hAnsi="仿宋_GB2312" w:eastAsia="仿宋_GB2312" w:cs="仿宋_GB2312"/>
          <w:sz w:val="32"/>
          <w:szCs w:val="32"/>
        </w:rPr>
        <w:t>29.8</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斤，包邮且坏果包赔。直播间优惠价格持续时间为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分钟，只有关注主播，然后点击直播间的商品链接并且在规定的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分钟内拍下才可以享受此价格，每人最多可以拍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箱，共</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份。为保证果子新鲜，本次属于预售，拍下后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天内发货。</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物流信息：</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顺丰空运，一般地区发货后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天到达，偏远地区</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天。</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关于售后：</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．生鲜商品不适合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天无理由退货。</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．收到产品后请检查包装是否完好，如有损坏，请将问题产品与快递单一起拍照于</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小时内联系客服进行赔付。</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．鲜果在运输中会有一定的水分的流失，</w:t>
      </w:r>
      <w:r>
        <w:rPr>
          <w:rFonts w:ascii="仿宋_GB2312" w:hAnsi="仿宋_GB2312" w:eastAsia="仿宋_GB2312" w:cs="仿宋_GB2312"/>
          <w:sz w:val="32"/>
          <w:szCs w:val="32"/>
        </w:rPr>
        <w:t>100g</w:t>
      </w:r>
      <w:r>
        <w:rPr>
          <w:rFonts w:hint="eastAsia" w:ascii="仿宋_GB2312" w:hAnsi="仿宋_GB2312" w:eastAsia="仿宋_GB2312" w:cs="仿宋_GB2312"/>
          <w:sz w:val="32"/>
          <w:szCs w:val="32"/>
        </w:rPr>
        <w:t>以内为正常，不在理赔范围内；重量差额超过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克的请在</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小时内联系客服进行赔付。</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（二）新媒体营销（样卷）</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取近几年典型的新媒体营销案例进行分析，了解其背景、实施新媒体营销的手段以及成功的因素。通过这些知识的学习，了解新媒体营销的思路和方法手段的运用，取其精华去其糟粕。如果此新媒体营销案例的内容是可视化的，如“百雀羚一镜到底长图广告”让学生可以浏览整个广告内容，制作类似新媒体内容作品，由专家进行评判。</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）普通话标准，口齿清晰，表达流利，声音洪亮，节奏适中；无明显的停顿、磕巴；在规定时间内团队</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人以上共同完成展示直播任务；</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）团队衣着整洁，在汇报过程中表情自然大方，注意基本的礼仪，能够尊重评委，文明用语。</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）在直播过程中不得出现任何学校名称、选手姓名等可暴露参赛选手身份的相关信息。</w:t>
      </w:r>
    </w:p>
    <w:p>
      <w:pPr>
        <w:pStyle w:val="44"/>
        <w:spacing w:before="156" w:after="156"/>
        <w:ind w:firstLine="643" w:firstLineChars="200"/>
        <w:rPr>
          <w:b/>
          <w:sz w:val="32"/>
          <w:szCs w:val="32"/>
        </w:rPr>
      </w:pPr>
      <w:r>
        <w:rPr>
          <w:rFonts w:hint="eastAsia"/>
          <w:b/>
          <w:sz w:val="32"/>
          <w:szCs w:val="32"/>
        </w:rPr>
        <w:t>四、竞赛方式</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竞赛采取团队比赛方式，以院校为单位组队参赛，每个参赛队由</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名选手组成，其中队长一名。选手须为全省高等职业院校</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年春季在籍同校学生，不限制性别、年级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每支参赛队不超过两名指导教师。参赛队不得更换参赛选手，允许队员缺席比赛。不允许更换新的指导教师，允许指导教师缺席。</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各参赛院校要为选手和指导老师购买大赛期间意外伤害保险和医疗保险。</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裁判组依据赛项评分方法及评分标准进行评价评分。</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竞赛采用软件系统操作加主观实践，客观题由系统自动统计评分，主观题如软文推广明确每项公开评分标准和得分点。</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抽签时间：竞赛当天上午</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签原则：抽签按照《全国职业院校技能大赛制度汇编》要求进行，赛项当天进行两次加密，加密后参赛选手中途不得擅自离开赛场。分别由两组加密裁判组织实施加密工作，管理加密结果。监督员全程监督加密过程。</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第一组加密裁判，组织参赛队进行第一次抽签，由队长抽签产生参赛编号，替换参赛队的参赛证等个人身份信息，填写一次加密记录表后，连同选手参赛证等个人身份信息证件，当即装入一次加密结果密封袋中单独保管。</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第二组加密裁判，组织参赛队进行第二次抽签，由队长抽签产生确定赛位号，替换参赛队参赛编号，填写二次加密记录表后，连同选手参赛编号，当即装入二次加密结果密封袋中单独保管。</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所有加密结果密封袋的封条均需相应的加密裁判和监督人员签字。密封袋在监督人员监督下由加密裁判放置于保密室的保险柜中保存。</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参赛队选手凭赛位号进入赛场，不得携带其他显示个人身份信息和违规的物品。现场裁判负责引导参赛队伍至赛位前等待竞赛指令。比赛开始前，在没有裁判允许的情况下，严禁随意触碰竞赛设施和阅读试题内容。比赛中途不得离开赛场。</w:t>
      </w:r>
    </w:p>
    <w:p>
      <w:pPr>
        <w:pStyle w:val="44"/>
        <w:spacing w:before="156" w:after="156"/>
        <w:ind w:firstLine="643" w:firstLineChars="200"/>
        <w:rPr>
          <w:b/>
          <w:sz w:val="32"/>
          <w:szCs w:val="32"/>
        </w:rPr>
      </w:pPr>
      <w:r>
        <w:rPr>
          <w:rFonts w:hint="eastAsia"/>
          <w:b/>
          <w:sz w:val="32"/>
          <w:szCs w:val="32"/>
        </w:rPr>
        <w:t>五、竞赛流程</w:t>
      </w:r>
    </w:p>
    <w:tbl>
      <w:tblPr>
        <w:tblStyle w:val="14"/>
        <w:tblW w:w="7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802"/>
        <w:gridCol w:w="244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jc w:val="center"/>
              <w:rPr>
                <w:rFonts w:ascii="仿宋_GB2312" w:hAnsi="仿宋" w:eastAsia="仿宋_GB2312"/>
                <w:b/>
                <w:sz w:val="24"/>
                <w:lang w:val="zh-CN"/>
              </w:rPr>
            </w:pPr>
            <w:r>
              <w:rPr>
                <w:rFonts w:hint="eastAsia" w:ascii="仿宋_GB2312" w:hAnsi="仿宋" w:eastAsia="仿宋_GB2312"/>
                <w:b/>
                <w:sz w:val="24"/>
                <w:lang w:val="zh-CN"/>
              </w:rPr>
              <w:t>日期</w:t>
            </w:r>
          </w:p>
        </w:tc>
        <w:tc>
          <w:tcPr>
            <w:tcW w:w="2802" w:type="dxa"/>
            <w:vAlign w:val="center"/>
          </w:tcPr>
          <w:p>
            <w:pPr>
              <w:jc w:val="center"/>
              <w:rPr>
                <w:rFonts w:ascii="仿宋_GB2312" w:hAnsi="仿宋" w:eastAsia="仿宋_GB2312"/>
                <w:b/>
                <w:sz w:val="24"/>
                <w:lang w:val="zh-CN"/>
              </w:rPr>
            </w:pPr>
            <w:r>
              <w:rPr>
                <w:rFonts w:hint="eastAsia" w:ascii="仿宋_GB2312" w:hAnsi="仿宋" w:eastAsia="仿宋_GB2312"/>
                <w:b/>
                <w:sz w:val="24"/>
                <w:lang w:val="zh-CN"/>
              </w:rPr>
              <w:t>事项</w:t>
            </w:r>
          </w:p>
        </w:tc>
        <w:tc>
          <w:tcPr>
            <w:tcW w:w="2444" w:type="dxa"/>
            <w:vAlign w:val="center"/>
          </w:tcPr>
          <w:p>
            <w:pPr>
              <w:jc w:val="center"/>
              <w:rPr>
                <w:rFonts w:ascii="仿宋_GB2312" w:hAnsi="仿宋" w:eastAsia="仿宋_GB2312"/>
                <w:b/>
                <w:sz w:val="24"/>
                <w:lang w:val="zh-CN"/>
              </w:rPr>
            </w:pPr>
            <w:r>
              <w:rPr>
                <w:rFonts w:hint="eastAsia" w:ascii="仿宋_GB2312" w:hAnsi="仿宋" w:eastAsia="仿宋_GB2312"/>
                <w:b/>
                <w:sz w:val="24"/>
                <w:lang w:val="zh-CN"/>
              </w:rPr>
              <w:t>参加人员</w:t>
            </w:r>
          </w:p>
        </w:tc>
        <w:tc>
          <w:tcPr>
            <w:tcW w:w="1528" w:type="dxa"/>
            <w:vAlign w:val="center"/>
          </w:tcPr>
          <w:p>
            <w:pPr>
              <w:jc w:val="center"/>
              <w:rPr>
                <w:rFonts w:ascii="仿宋_GB2312" w:hAnsi="仿宋" w:eastAsia="仿宋_GB2312"/>
                <w:b/>
                <w:sz w:val="24"/>
                <w:lang w:val="zh-CN"/>
              </w:rPr>
            </w:pPr>
            <w:r>
              <w:rPr>
                <w:rFonts w:hint="eastAsia" w:ascii="仿宋_GB2312" w:hAnsi="仿宋" w:eastAsia="仿宋_GB2312"/>
                <w:b/>
                <w:sz w:val="24"/>
                <w:lang w:val="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restart"/>
            <w:vAlign w:val="center"/>
          </w:tcPr>
          <w:p>
            <w:pPr>
              <w:jc w:val="left"/>
              <w:rPr>
                <w:rFonts w:ascii="仿宋_GB2312" w:hAnsi="仿宋" w:eastAsia="仿宋_GB2312"/>
                <w:sz w:val="24"/>
                <w:lang w:val="zh-CN"/>
              </w:rPr>
            </w:pPr>
            <w:r>
              <w:rPr>
                <w:rFonts w:hint="eastAsia" w:ascii="仿宋_GB2312" w:hAnsi="仿宋" w:eastAsia="仿宋_GB2312"/>
                <w:sz w:val="24"/>
                <w:lang w:val="zh-CN"/>
              </w:rPr>
              <w:t>报到日</w:t>
            </w:r>
          </w:p>
        </w:tc>
        <w:tc>
          <w:tcPr>
            <w:tcW w:w="2802"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参赛队报到，安排住宿，领取资料</w:t>
            </w:r>
          </w:p>
        </w:tc>
        <w:tc>
          <w:tcPr>
            <w:tcW w:w="2444"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各参赛队</w:t>
            </w:r>
          </w:p>
        </w:tc>
        <w:tc>
          <w:tcPr>
            <w:tcW w:w="1528"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pPr>
              <w:jc w:val="left"/>
              <w:rPr>
                <w:rFonts w:ascii="仿宋_GB2312" w:hAnsi="仿宋" w:eastAsia="仿宋_GB2312"/>
                <w:sz w:val="24"/>
                <w:lang w:val="zh-CN"/>
              </w:rPr>
            </w:pPr>
          </w:p>
        </w:tc>
        <w:tc>
          <w:tcPr>
            <w:tcW w:w="2802"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熟悉赛场</w:t>
            </w:r>
          </w:p>
        </w:tc>
        <w:tc>
          <w:tcPr>
            <w:tcW w:w="2444"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赛场技术人员、各参赛队领队</w:t>
            </w:r>
          </w:p>
        </w:tc>
        <w:tc>
          <w:tcPr>
            <w:tcW w:w="1528"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restart"/>
            <w:vAlign w:val="center"/>
          </w:tcPr>
          <w:p>
            <w:pPr>
              <w:jc w:val="left"/>
              <w:rPr>
                <w:rFonts w:ascii="仿宋_GB2312" w:hAnsi="仿宋" w:eastAsia="仿宋_GB2312"/>
                <w:sz w:val="24"/>
                <w:lang w:val="zh-CN"/>
              </w:rPr>
            </w:pPr>
            <w:r>
              <w:rPr>
                <w:rFonts w:hint="eastAsia" w:ascii="仿宋_GB2312" w:hAnsi="仿宋" w:eastAsia="仿宋_GB2312"/>
                <w:sz w:val="24"/>
                <w:lang w:val="zh-CN"/>
              </w:rPr>
              <w:t>竞赛日</w:t>
            </w:r>
          </w:p>
        </w:tc>
        <w:tc>
          <w:tcPr>
            <w:tcW w:w="2802"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参赛队住宿宾馆门口集合，集体乘车往赛场</w:t>
            </w:r>
          </w:p>
        </w:tc>
        <w:tc>
          <w:tcPr>
            <w:tcW w:w="2444"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各参赛队</w:t>
            </w:r>
          </w:p>
        </w:tc>
        <w:tc>
          <w:tcPr>
            <w:tcW w:w="1528"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pPr>
              <w:jc w:val="left"/>
              <w:rPr>
                <w:rFonts w:ascii="仿宋_GB2312" w:hAnsi="仿宋" w:eastAsia="仿宋_GB2312"/>
                <w:sz w:val="24"/>
                <w:lang w:val="zh-CN"/>
              </w:rPr>
            </w:pPr>
          </w:p>
        </w:tc>
        <w:tc>
          <w:tcPr>
            <w:tcW w:w="2802"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领队会</w:t>
            </w:r>
          </w:p>
        </w:tc>
        <w:tc>
          <w:tcPr>
            <w:tcW w:w="2444"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各参赛队领队</w:t>
            </w:r>
          </w:p>
        </w:tc>
        <w:tc>
          <w:tcPr>
            <w:tcW w:w="1528"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pPr>
              <w:jc w:val="left"/>
              <w:rPr>
                <w:rFonts w:ascii="仿宋_GB2312" w:hAnsi="仿宋" w:eastAsia="仿宋_GB2312"/>
                <w:sz w:val="24"/>
                <w:lang w:val="zh-CN"/>
              </w:rPr>
            </w:pPr>
          </w:p>
        </w:tc>
        <w:tc>
          <w:tcPr>
            <w:tcW w:w="2802"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大赛检录进场</w:t>
            </w:r>
          </w:p>
          <w:p>
            <w:pPr>
              <w:jc w:val="left"/>
              <w:rPr>
                <w:rFonts w:ascii="仿宋_GB2312" w:hAnsi="仿宋" w:eastAsia="仿宋_GB2312"/>
                <w:sz w:val="24"/>
                <w:lang w:val="zh-CN"/>
              </w:rPr>
            </w:pPr>
            <w:r>
              <w:rPr>
                <w:rFonts w:hint="eastAsia" w:ascii="仿宋_GB2312" w:hAnsi="仿宋" w:eastAsia="仿宋_GB2312"/>
                <w:sz w:val="24"/>
                <w:lang w:val="zh-CN"/>
              </w:rPr>
              <w:t>第一次抽签加密（抽参赛编号）</w:t>
            </w:r>
          </w:p>
        </w:tc>
        <w:tc>
          <w:tcPr>
            <w:tcW w:w="2444"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参赛选手，第一次抽签裁判</w:t>
            </w:r>
          </w:p>
        </w:tc>
        <w:tc>
          <w:tcPr>
            <w:tcW w:w="1528"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一次抽签区域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pPr>
              <w:jc w:val="left"/>
              <w:rPr>
                <w:rFonts w:ascii="仿宋_GB2312" w:hAnsi="仿宋" w:eastAsia="仿宋_GB2312"/>
                <w:sz w:val="24"/>
                <w:lang w:val="zh-CN"/>
              </w:rPr>
            </w:pPr>
          </w:p>
        </w:tc>
        <w:tc>
          <w:tcPr>
            <w:tcW w:w="2802"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第二次抽签加密（抽赛位号）</w:t>
            </w:r>
          </w:p>
        </w:tc>
        <w:tc>
          <w:tcPr>
            <w:tcW w:w="2444"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参赛选手，第二次抽签裁判</w:t>
            </w:r>
          </w:p>
        </w:tc>
        <w:tc>
          <w:tcPr>
            <w:tcW w:w="1528"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二次抽签区域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pPr>
              <w:jc w:val="left"/>
              <w:rPr>
                <w:rFonts w:ascii="仿宋_GB2312" w:hAnsi="仿宋" w:eastAsia="仿宋_GB2312"/>
                <w:sz w:val="24"/>
                <w:lang w:val="zh-CN"/>
              </w:rPr>
            </w:pPr>
          </w:p>
        </w:tc>
        <w:tc>
          <w:tcPr>
            <w:tcW w:w="2802" w:type="dxa"/>
            <w:vAlign w:val="center"/>
          </w:tcPr>
          <w:p>
            <w:pPr>
              <w:jc w:val="left"/>
              <w:rPr>
                <w:rFonts w:ascii="仿宋_GB2312" w:hAnsi="仿宋" w:eastAsia="仿宋_GB2312"/>
                <w:sz w:val="24"/>
                <w:lang w:val="zh-CN"/>
              </w:rPr>
            </w:pPr>
            <w:r>
              <w:rPr>
                <w:rFonts w:hint="eastAsia" w:ascii="仿宋_GB2312" w:hAnsi="仿宋" w:eastAsia="仿宋_GB2312"/>
                <w:sz w:val="24"/>
              </w:rPr>
              <w:t>直播</w:t>
            </w:r>
            <w:r>
              <w:rPr>
                <w:rFonts w:hint="eastAsia" w:ascii="仿宋_GB2312" w:hAnsi="仿宋" w:eastAsia="仿宋_GB2312"/>
                <w:sz w:val="24"/>
                <w:lang w:val="zh-CN"/>
              </w:rPr>
              <w:t>部分</w:t>
            </w:r>
          </w:p>
        </w:tc>
        <w:tc>
          <w:tcPr>
            <w:tcW w:w="2444"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参赛选手、裁判</w:t>
            </w:r>
          </w:p>
        </w:tc>
        <w:tc>
          <w:tcPr>
            <w:tcW w:w="1528"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vAlign w:val="center"/>
          </w:tcPr>
          <w:p>
            <w:pPr>
              <w:jc w:val="left"/>
              <w:rPr>
                <w:rFonts w:ascii="仿宋_GB2312" w:hAnsi="仿宋" w:eastAsia="仿宋_GB2312"/>
                <w:sz w:val="24"/>
                <w:lang w:val="zh-CN"/>
              </w:rPr>
            </w:pPr>
          </w:p>
        </w:tc>
        <w:tc>
          <w:tcPr>
            <w:tcW w:w="2802" w:type="dxa"/>
            <w:vAlign w:val="center"/>
          </w:tcPr>
          <w:p>
            <w:pPr>
              <w:jc w:val="left"/>
              <w:rPr>
                <w:rFonts w:ascii="仿宋_GB2312" w:hAnsi="仿宋" w:eastAsia="仿宋_GB2312"/>
                <w:sz w:val="24"/>
                <w:lang w:val="zh-CN"/>
              </w:rPr>
            </w:pPr>
            <w:r>
              <w:rPr>
                <w:rFonts w:hint="eastAsia" w:ascii="仿宋_GB2312" w:hAnsi="仿宋" w:eastAsia="仿宋_GB2312"/>
                <w:sz w:val="24"/>
              </w:rPr>
              <w:t>新媒体营销</w:t>
            </w:r>
            <w:r>
              <w:rPr>
                <w:rFonts w:hint="eastAsia" w:ascii="仿宋_GB2312" w:hAnsi="仿宋" w:eastAsia="仿宋_GB2312"/>
                <w:sz w:val="24"/>
                <w:lang w:val="zh-CN"/>
              </w:rPr>
              <w:t>部分</w:t>
            </w:r>
          </w:p>
        </w:tc>
        <w:tc>
          <w:tcPr>
            <w:tcW w:w="2444"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参赛选手、裁判</w:t>
            </w:r>
          </w:p>
        </w:tc>
        <w:tc>
          <w:tcPr>
            <w:tcW w:w="1528" w:type="dxa"/>
            <w:vAlign w:val="center"/>
          </w:tcPr>
          <w:p>
            <w:pPr>
              <w:jc w:val="left"/>
              <w:rPr>
                <w:rFonts w:ascii="仿宋_GB2312" w:hAnsi="仿宋" w:eastAsia="仿宋_GB2312"/>
                <w:sz w:val="24"/>
                <w:lang w:val="zh-CN"/>
              </w:rPr>
            </w:pPr>
            <w:r>
              <w:rPr>
                <w:rFonts w:hint="eastAsia" w:ascii="仿宋_GB2312" w:hAnsi="仿宋" w:eastAsia="仿宋_GB2312"/>
                <w:sz w:val="24"/>
                <w:lang w:val="zh-CN"/>
              </w:rPr>
              <w:t>竞赛场地</w:t>
            </w:r>
          </w:p>
        </w:tc>
      </w:tr>
    </w:tbl>
    <w:p>
      <w:pPr>
        <w:pStyle w:val="44"/>
        <w:spacing w:before="156" w:after="156"/>
        <w:ind w:firstLine="643" w:firstLineChars="200"/>
        <w:rPr>
          <w:b/>
          <w:sz w:val="32"/>
          <w:szCs w:val="32"/>
        </w:rPr>
      </w:pPr>
      <w:r>
        <w:rPr>
          <w:rFonts w:hint="eastAsia"/>
          <w:b/>
          <w:sz w:val="32"/>
          <w:szCs w:val="32"/>
        </w:rPr>
        <w:t>六、竞赛命题</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本赛项直播、新媒体营销两部分内容均为公开赛题，正式赛题要求于比赛当日，经试题库随机排序后，在现场监督人员监督下由裁判长指定相关人员抽取。</w:t>
      </w:r>
    </w:p>
    <w:p>
      <w:pPr>
        <w:pStyle w:val="44"/>
        <w:spacing w:before="156" w:after="156"/>
        <w:ind w:firstLine="643" w:firstLineChars="200"/>
        <w:rPr>
          <w:b/>
          <w:sz w:val="32"/>
          <w:szCs w:val="32"/>
        </w:rPr>
      </w:pPr>
      <w:r>
        <w:rPr>
          <w:rFonts w:hint="eastAsia"/>
          <w:b/>
          <w:sz w:val="32"/>
          <w:szCs w:val="32"/>
        </w:rPr>
        <w:t>七、评分标准制定原则、评分方法、评分细则</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（一）评分标准制定原则</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评分标准由赛项专家组制定，赛前公布。严格按照《全国职业院校技能大赛成绩管理办法》中规定的评分方法实施。</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（二）评分方法</w:t>
      </w:r>
    </w:p>
    <w:p>
      <w:pPr>
        <w:pStyle w:val="5"/>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成绩评定</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网店客户服务、运营推广评分方式为机考评分。</w:t>
      </w:r>
    </w:p>
    <w:p>
      <w:pPr>
        <w:pStyle w:val="5"/>
        <w:spacing w:line="60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成绩复核</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为保障成绩评判的准确性，监督组将对赛项总成绩排名前</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的所有参赛队伍（选手）的成绩进行复核；对其余成绩进行抽检复核，抽检覆盖率不得低于</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。如发现成绩错误以书面方式及时告知裁判长，由裁判长更正成绩并签字确认。复核、抽检错误率超过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的，裁判组将对所有成绩进行复核。</w:t>
      </w:r>
    </w:p>
    <w:p>
      <w:pPr>
        <w:pStyle w:val="5"/>
        <w:spacing w:line="60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赛项最终得分</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分制计分，最终成绩经复核无误，由裁判长、监督人员和仲裁人员签字确认后公布。</w:t>
      </w:r>
    </w:p>
    <w:tbl>
      <w:tblPr>
        <w:tblStyle w:val="1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1"/>
        <w:gridCol w:w="6510"/>
        <w:gridCol w:w="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81" w:type="dxa"/>
            <w:vAlign w:val="center"/>
          </w:tcPr>
          <w:p>
            <w:pPr>
              <w:rPr>
                <w:rFonts w:ascii="仿宋" w:hAnsi="仿宋" w:eastAsia="仿宋" w:cs="仿宋"/>
                <w:sz w:val="24"/>
              </w:rPr>
            </w:pPr>
            <w:r>
              <w:rPr>
                <w:rFonts w:hint="eastAsia" w:ascii="仿宋" w:hAnsi="仿宋" w:eastAsia="仿宋" w:cs="仿宋"/>
                <w:sz w:val="24"/>
              </w:rPr>
              <w:t>电子商务直播</w:t>
            </w:r>
          </w:p>
        </w:tc>
        <w:tc>
          <w:tcPr>
            <w:tcW w:w="6510" w:type="dxa"/>
            <w:vAlign w:val="center"/>
          </w:tcPr>
          <w:p>
            <w:pPr>
              <w:rPr>
                <w:rFonts w:ascii="仿宋" w:hAnsi="仿宋" w:eastAsia="仿宋" w:cs="仿宋"/>
                <w:sz w:val="24"/>
              </w:rPr>
            </w:pPr>
            <w:r>
              <w:rPr>
                <w:rFonts w:hint="eastAsia" w:ascii="仿宋" w:hAnsi="仿宋" w:eastAsia="仿宋" w:cs="仿宋"/>
                <w:sz w:val="24"/>
              </w:rPr>
              <w:t>每个选手应具备基本的电子商务职业素养、从业知识和技能，具备电子商务直播能力，可以根据产品、图片素材及手机、电脑等硬件设备完成微店的开设、直播内容的准备及直播</w:t>
            </w:r>
          </w:p>
        </w:tc>
        <w:tc>
          <w:tcPr>
            <w:tcW w:w="881" w:type="dxa"/>
            <w:vAlign w:val="center"/>
          </w:tcPr>
          <w:p>
            <w:pPr>
              <w:rPr>
                <w:rFonts w:ascii="仿宋" w:hAnsi="仿宋" w:eastAsia="仿宋" w:cs="仿宋"/>
                <w:sz w:val="24"/>
              </w:rPr>
            </w:pPr>
            <w:r>
              <w:rPr>
                <w:rFonts w:ascii="仿宋" w:hAnsi="仿宋" w:eastAsia="仿宋" w:cs="仿宋"/>
                <w:sz w:val="24"/>
              </w:rPr>
              <w:t>40</w:t>
            </w:r>
            <w:r>
              <w:rPr>
                <w:rFonts w:hint="eastAsia" w:ascii="仿宋" w:hAnsi="仿宋" w:eastAsia="仿宋" w:cs="仿宋"/>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681" w:type="dxa"/>
            <w:vAlign w:val="center"/>
          </w:tcPr>
          <w:p>
            <w:pPr>
              <w:rPr>
                <w:rFonts w:ascii="仿宋" w:hAnsi="仿宋" w:eastAsia="仿宋" w:cs="仿宋"/>
                <w:sz w:val="24"/>
              </w:rPr>
            </w:pPr>
            <w:r>
              <w:rPr>
                <w:rFonts w:hint="eastAsia" w:ascii="仿宋" w:hAnsi="仿宋" w:eastAsia="仿宋" w:cs="仿宋"/>
                <w:sz w:val="24"/>
              </w:rPr>
              <w:t>新媒体营销</w:t>
            </w:r>
          </w:p>
        </w:tc>
        <w:tc>
          <w:tcPr>
            <w:tcW w:w="6510" w:type="dxa"/>
            <w:vAlign w:val="center"/>
          </w:tcPr>
          <w:p>
            <w:pPr>
              <w:rPr>
                <w:rFonts w:ascii="仿宋" w:hAnsi="仿宋" w:eastAsia="仿宋" w:cs="仿宋"/>
                <w:sz w:val="24"/>
              </w:rPr>
            </w:pPr>
            <w:r>
              <w:rPr>
                <w:rFonts w:hint="eastAsia" w:ascii="仿宋" w:hAnsi="仿宋" w:eastAsia="仿宋" w:cs="仿宋"/>
                <w:sz w:val="24"/>
              </w:rPr>
              <w:t>新媒体内容运营制作</w:t>
            </w:r>
          </w:p>
        </w:tc>
        <w:tc>
          <w:tcPr>
            <w:tcW w:w="881" w:type="dxa"/>
            <w:vAlign w:val="center"/>
          </w:tcPr>
          <w:p>
            <w:pPr>
              <w:rPr>
                <w:rFonts w:ascii="仿宋" w:hAnsi="仿宋" w:eastAsia="仿宋" w:cs="仿宋"/>
                <w:sz w:val="24"/>
              </w:rPr>
            </w:pPr>
            <w:r>
              <w:rPr>
                <w:rFonts w:ascii="仿宋" w:hAnsi="仿宋" w:eastAsia="仿宋" w:cs="仿宋"/>
                <w:sz w:val="24"/>
              </w:rPr>
              <w:t>60</w:t>
            </w:r>
            <w:r>
              <w:rPr>
                <w:rFonts w:hint="eastAsia" w:ascii="仿宋" w:hAnsi="仿宋" w:eastAsia="仿宋" w:cs="仿宋"/>
                <w:sz w:val="24"/>
              </w:rPr>
              <w:t>分</w:t>
            </w:r>
          </w:p>
        </w:tc>
      </w:tr>
    </w:tbl>
    <w:p>
      <w:pPr>
        <w:pStyle w:val="44"/>
        <w:spacing w:before="156" w:after="156"/>
        <w:ind w:firstLine="643" w:firstLineChars="200"/>
        <w:rPr>
          <w:b/>
          <w:sz w:val="32"/>
          <w:szCs w:val="32"/>
        </w:rPr>
      </w:pPr>
      <w:r>
        <w:rPr>
          <w:rFonts w:hint="eastAsia"/>
          <w:b/>
          <w:sz w:val="32"/>
          <w:szCs w:val="32"/>
        </w:rPr>
        <w:t>八、竞赛规则</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选手须为全省高等职业院校</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年春季在籍同校学生，不限制性别、年级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每支参赛队不超过两名指导教师。</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竞赛前</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15:30—16:20</w:t>
      </w:r>
      <w:r>
        <w:rPr>
          <w:rFonts w:hint="eastAsia" w:ascii="仿宋_GB2312" w:hAnsi="仿宋_GB2312" w:eastAsia="仿宋_GB2312" w:cs="仿宋_GB2312"/>
          <w:sz w:val="32"/>
          <w:szCs w:val="32"/>
        </w:rPr>
        <w:t>安排各参赛队领队、参数选手熟悉赛场。</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严禁参赛选手、赛项裁判、工作人员私自携带通讯、摄录设备进入比赛场地。</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参赛选手所需的硬件、软件和辅助工具统一提供，参赛队不得使用自带的任何有存储功能的设备，如硬盘、光盘、</w:t>
      </w:r>
      <w:r>
        <w:rPr>
          <w:rFonts w:ascii="仿宋_GB2312" w:hAnsi="仿宋_GB2312" w:eastAsia="仿宋_GB2312" w:cs="仿宋_GB2312"/>
          <w:sz w:val="32"/>
          <w:szCs w:val="32"/>
        </w:rPr>
        <w:t>U</w:t>
      </w:r>
      <w:r>
        <w:rPr>
          <w:rFonts w:hint="eastAsia" w:ascii="仿宋_GB2312" w:hAnsi="仿宋_GB2312" w:eastAsia="仿宋_GB2312" w:cs="仿宋_GB2312"/>
          <w:sz w:val="32"/>
          <w:szCs w:val="32"/>
        </w:rPr>
        <w:t>盘、手机、随身听等。</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所有参赛选手都必须携带参赛证件进行检录。</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参赛队在赛前</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分钟领取比赛任务并进入比赛工位，比赛正式开始后方可进行相关操作。</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比赛过程中，选手须严格遵守操作规程，确保人身及设备安全，并接受裁判员的监督和指示。因选手原因造成设备故障或损坏而无法继续比赛的，裁判长有权决定中止该队比赛；非因选手个人原因造成设备故障的，由裁判长视具体情况作出裁决。</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比赛结束（或提前完成）后，参赛队要确认已成功提交竞赛结果，参赛队在确认后不得再进行任何操作。</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赛项最终得分按</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分制计分。最终成绩经复核无误，由裁判长、监督人员和仲裁人员签字确认后公布。</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大赛最终成绩由大赛组委会公示后公布，任何组织和个人，不得擅自对大赛成绩进行涂改、伪造或用于欺诈等违法犯罪活动。</w:t>
      </w:r>
    </w:p>
    <w:p>
      <w:pPr>
        <w:pStyle w:val="44"/>
        <w:spacing w:before="156" w:after="156"/>
        <w:ind w:firstLine="643" w:firstLineChars="200"/>
        <w:rPr>
          <w:b/>
          <w:sz w:val="32"/>
          <w:szCs w:val="32"/>
        </w:rPr>
      </w:pPr>
      <w:r>
        <w:rPr>
          <w:rFonts w:hint="eastAsia"/>
          <w:b/>
          <w:sz w:val="32"/>
          <w:szCs w:val="32"/>
        </w:rPr>
        <w:t>九、竞赛环境</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一个参赛队一个机位，每个机位三台电脑，其中一台电脑备用，两张桌子，四把椅子；环境标准要求保证赛场采光、照明和通风良好，每支参赛队提供一个垃圾箱。</w:t>
      </w:r>
    </w:p>
    <w:p>
      <w:pPr>
        <w:pStyle w:val="44"/>
        <w:spacing w:before="156" w:after="156"/>
        <w:ind w:firstLine="643" w:firstLineChars="200"/>
        <w:rPr>
          <w:b/>
          <w:sz w:val="32"/>
          <w:szCs w:val="32"/>
        </w:rPr>
      </w:pPr>
      <w:r>
        <w:rPr>
          <w:rFonts w:hint="eastAsia"/>
          <w:b/>
          <w:sz w:val="32"/>
          <w:szCs w:val="32"/>
        </w:rPr>
        <w:t>十、技术平台</w:t>
      </w:r>
    </w:p>
    <w:tbl>
      <w:tblPr>
        <w:tblStyle w:val="14"/>
        <w:tblW w:w="9035" w:type="dxa"/>
        <w:tblInd w:w="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72"/>
        <w:gridCol w:w="66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2372"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品名</w:t>
            </w:r>
          </w:p>
        </w:tc>
        <w:tc>
          <w:tcPr>
            <w:tcW w:w="6663"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规格要求说明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2372"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参赛选手计算机</w:t>
            </w:r>
          </w:p>
        </w:tc>
        <w:tc>
          <w:tcPr>
            <w:tcW w:w="6663" w:type="dxa"/>
          </w:tcPr>
          <w:p>
            <w:pPr>
              <w:rPr>
                <w:rFonts w:ascii="仿宋_GB2312" w:hAnsi="仿宋_GB2312" w:eastAsia="仿宋_GB2312" w:cs="仿宋_GB2312"/>
                <w:sz w:val="24"/>
              </w:rPr>
            </w:pPr>
            <w:r>
              <w:rPr>
                <w:rFonts w:hint="eastAsia" w:ascii="仿宋_GB2312" w:hAnsi="仿宋_GB2312" w:eastAsia="仿宋_GB2312" w:cs="仿宋_GB2312"/>
                <w:sz w:val="24"/>
              </w:rPr>
              <w:t>预装</w:t>
            </w:r>
            <w:r>
              <w:rPr>
                <w:rFonts w:ascii="仿宋_GB2312" w:hAnsi="仿宋_GB2312" w:eastAsia="仿宋_GB2312" w:cs="仿宋_GB2312"/>
                <w:sz w:val="24"/>
              </w:rPr>
              <w:t>Internet Explorer8.0</w:t>
            </w:r>
            <w:r>
              <w:rPr>
                <w:rFonts w:hint="eastAsia" w:ascii="仿宋_GB2312" w:hAnsi="仿宋_GB2312" w:eastAsia="仿宋_GB2312" w:cs="仿宋_GB2312"/>
                <w:sz w:val="24"/>
              </w:rPr>
              <w:t>以上浏览器和火狐浏览器；预装全拼、简拼、微软拼音等中文输入法和英文输入法；预装</w:t>
            </w:r>
            <w:r>
              <w:rPr>
                <w:rFonts w:ascii="仿宋_GB2312" w:hAnsi="仿宋_GB2312" w:eastAsia="仿宋_GB2312" w:cs="仿宋_GB2312"/>
                <w:sz w:val="24"/>
              </w:rPr>
              <w:t>Dreamweaver CS6</w:t>
            </w:r>
            <w:r>
              <w:rPr>
                <w:rFonts w:hint="eastAsia" w:ascii="仿宋_GB2312" w:hAnsi="仿宋_GB2312" w:eastAsia="仿宋_GB2312" w:cs="仿宋_GB2312"/>
                <w:sz w:val="24"/>
              </w:rPr>
              <w:t>和</w:t>
            </w:r>
            <w:r>
              <w:rPr>
                <w:rFonts w:ascii="仿宋_GB2312" w:hAnsi="仿宋_GB2312" w:eastAsia="仿宋_GB2312" w:cs="仿宋_GB2312"/>
                <w:sz w:val="24"/>
              </w:rPr>
              <w:t>Fireworks CS6</w:t>
            </w:r>
            <w:r>
              <w:rPr>
                <w:rFonts w:hint="eastAsia" w:ascii="仿宋_GB2312" w:hAnsi="仿宋_GB2312" w:eastAsia="仿宋_GB2312" w:cs="仿宋_GB2312"/>
                <w:sz w:val="24"/>
              </w:rPr>
              <w:t>简体中文版；预装</w:t>
            </w:r>
            <w:r>
              <w:rPr>
                <w:rFonts w:ascii="仿宋_GB2312" w:hAnsi="仿宋_GB2312" w:eastAsia="仿宋_GB2312" w:cs="仿宋_GB2312"/>
                <w:sz w:val="24"/>
              </w:rPr>
              <w:t xml:space="preserve"> Adobe Photoshop CS6 </w:t>
            </w:r>
            <w:r>
              <w:rPr>
                <w:rFonts w:hint="eastAsia" w:ascii="仿宋_GB2312" w:hAnsi="仿宋_GB2312" w:eastAsia="仿宋_GB2312" w:cs="仿宋_GB2312"/>
                <w:sz w:val="24"/>
              </w:rPr>
              <w:t>版本。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2372"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网络连接设备</w:t>
            </w:r>
          </w:p>
        </w:tc>
        <w:tc>
          <w:tcPr>
            <w:tcW w:w="666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提供网络布线、交换机、竞赛用服务器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6" w:hRule="atLeast"/>
        </w:trPr>
        <w:tc>
          <w:tcPr>
            <w:tcW w:w="2372"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竞赛服务器</w:t>
            </w:r>
          </w:p>
        </w:tc>
        <w:tc>
          <w:tcPr>
            <w:tcW w:w="666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配置要求：英特尔至强</w:t>
            </w:r>
            <w:r>
              <w:rPr>
                <w:rFonts w:ascii="仿宋_GB2312" w:hAnsi="仿宋_GB2312" w:eastAsia="仿宋_GB2312" w:cs="仿宋_GB2312"/>
                <w:sz w:val="24"/>
              </w:rPr>
              <w:t>E5</w:t>
            </w:r>
            <w:r>
              <w:rPr>
                <w:rFonts w:hint="eastAsia" w:ascii="仿宋_GB2312" w:hAnsi="仿宋_GB2312" w:eastAsia="仿宋_GB2312" w:cs="仿宋_GB2312"/>
                <w:sz w:val="24"/>
              </w:rPr>
              <w:t>系列四核以上</w:t>
            </w:r>
            <w:r>
              <w:rPr>
                <w:rFonts w:ascii="仿宋_GB2312" w:hAnsi="仿宋_GB2312" w:eastAsia="仿宋_GB2312" w:cs="仿宋_GB2312"/>
                <w:sz w:val="24"/>
              </w:rPr>
              <w:t>CPU</w:t>
            </w:r>
            <w:r>
              <w:rPr>
                <w:rFonts w:hint="eastAsia" w:ascii="仿宋_GB2312" w:hAnsi="仿宋_GB2312" w:eastAsia="仿宋_GB2312" w:cs="仿宋_GB2312"/>
                <w:sz w:val="24"/>
              </w:rPr>
              <w:t>；</w:t>
            </w:r>
            <w:r>
              <w:rPr>
                <w:rFonts w:ascii="仿宋_GB2312" w:hAnsi="仿宋_GB2312" w:eastAsia="仿宋_GB2312" w:cs="仿宋_GB2312"/>
                <w:sz w:val="24"/>
              </w:rPr>
              <w:t>16GB</w:t>
            </w:r>
            <w:r>
              <w:rPr>
                <w:rFonts w:hint="eastAsia" w:ascii="仿宋_GB2312" w:hAnsi="仿宋_GB2312" w:eastAsia="仿宋_GB2312" w:cs="仿宋_GB2312"/>
                <w:sz w:val="24"/>
              </w:rPr>
              <w:t>以上内存；</w:t>
            </w:r>
            <w:r>
              <w:rPr>
                <w:rFonts w:ascii="仿宋_GB2312" w:hAnsi="仿宋_GB2312" w:eastAsia="仿宋_GB2312" w:cs="仿宋_GB2312"/>
                <w:sz w:val="24"/>
              </w:rPr>
              <w:t>500G</w:t>
            </w:r>
            <w:r>
              <w:rPr>
                <w:rFonts w:hint="eastAsia" w:ascii="仿宋_GB2312" w:hAnsi="仿宋_GB2312" w:eastAsia="仿宋_GB2312" w:cs="仿宋_GB2312"/>
                <w:sz w:val="24"/>
              </w:rPr>
              <w:t>以上硬盘；千兆网卡。预装</w:t>
            </w:r>
            <w:r>
              <w:rPr>
                <w:rFonts w:ascii="仿宋_GB2312" w:hAnsi="仿宋_GB2312" w:eastAsia="仿宋_GB2312" w:cs="仿宋_GB2312"/>
                <w:sz w:val="24"/>
              </w:rPr>
              <w:t>Windows 2008 Server Enterprise</w:t>
            </w:r>
            <w:r>
              <w:rPr>
                <w:rFonts w:hint="eastAsia" w:ascii="仿宋_GB2312" w:hAnsi="仿宋_GB2312" w:eastAsia="仿宋_GB2312" w:cs="仿宋_GB2312"/>
                <w:sz w:val="24"/>
              </w:rPr>
              <w:t>操作系统及</w:t>
            </w:r>
            <w:r>
              <w:rPr>
                <w:rFonts w:ascii="仿宋_GB2312" w:hAnsi="仿宋_GB2312" w:eastAsia="仿宋_GB2312" w:cs="仿宋_GB2312"/>
                <w:sz w:val="24"/>
              </w:rPr>
              <w:t>IIS7.5</w:t>
            </w:r>
            <w:r>
              <w:rPr>
                <w:rFonts w:hint="eastAsia" w:ascii="仿宋_GB2312" w:hAnsi="仿宋_GB2312" w:eastAsia="仿宋_GB2312" w:cs="仿宋_GB2312"/>
                <w:sz w:val="24"/>
              </w:rPr>
              <w:t>；预装</w:t>
            </w:r>
            <w:r>
              <w:rPr>
                <w:rFonts w:ascii="仿宋_GB2312" w:hAnsi="仿宋_GB2312" w:eastAsia="仿宋_GB2312" w:cs="仿宋_GB2312"/>
                <w:sz w:val="24"/>
              </w:rPr>
              <w:t>Microsoft SQL Server 2005</w:t>
            </w:r>
            <w:r>
              <w:rPr>
                <w:rFonts w:hint="eastAsia" w:ascii="仿宋_GB2312" w:hAnsi="仿宋_GB2312" w:eastAsia="仿宋_GB2312" w:cs="仿宋_GB2312"/>
                <w:sz w:val="24"/>
              </w:rPr>
              <w:t>数据库。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2372"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竞赛软件</w:t>
            </w:r>
          </w:p>
        </w:tc>
        <w:tc>
          <w:tcPr>
            <w:tcW w:w="6663" w:type="dxa"/>
            <w:vAlign w:val="center"/>
          </w:tcPr>
          <w:p>
            <w:pPr>
              <w:rPr>
                <w:rFonts w:ascii="仿宋_GB2312" w:hAnsi="仿宋_GB2312" w:eastAsia="仿宋_GB2312" w:cs="仿宋_GB2312"/>
                <w:sz w:val="24"/>
              </w:rPr>
            </w:pPr>
            <w:r>
              <w:rPr>
                <w:rFonts w:hint="eastAsia" w:ascii="仿宋_GB2312" w:hAnsi="仿宋_GB2312" w:eastAsia="仿宋_GB2312" w:cs="仿宋_GB2312"/>
                <w:sz w:val="24"/>
              </w:rPr>
              <w:t>中教畅享“电子商务综合实训与竞赛系统”。</w:t>
            </w:r>
          </w:p>
        </w:tc>
      </w:tr>
    </w:tbl>
    <w:p>
      <w:pPr>
        <w:pStyle w:val="44"/>
        <w:spacing w:before="156" w:after="156"/>
        <w:ind w:firstLine="643" w:firstLineChars="200"/>
        <w:rPr>
          <w:b/>
          <w:sz w:val="32"/>
          <w:szCs w:val="32"/>
        </w:rPr>
      </w:pPr>
      <w:r>
        <w:rPr>
          <w:rFonts w:hint="eastAsia"/>
          <w:b/>
          <w:sz w:val="32"/>
          <w:szCs w:val="32"/>
        </w:rPr>
        <w:t>十一、赛场预案</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赛场备用工位：赛场提供占总参赛队伍</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的备用工位。</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现场应急预案详情，如下：</w:t>
      </w:r>
    </w:p>
    <w:p>
      <w:pPr>
        <w:spacing w:line="600" w:lineRule="exact"/>
        <w:ind w:firstLine="640" w:firstLineChars="200"/>
        <w:jc w:val="left"/>
        <w:rPr>
          <w:rFonts w:ascii="仿宋_GB2312" w:hAnsi="仿宋_GB2312" w:eastAsia="仿宋_GB2312" w:cs="仿宋_GB2312"/>
          <w:sz w:val="32"/>
          <w:szCs w:val="32"/>
        </w:rPr>
      </w:pPr>
      <w:r>
        <w:rPr>
          <w:rFonts w:hint="eastAsia" w:ascii="楷体" w:hAnsi="楷体" w:eastAsia="楷体"/>
          <w:sz w:val="32"/>
          <w:szCs w:val="32"/>
        </w:rPr>
        <w:t>（一）服务器问题预案</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若服务器在比赛过程中出现卡顿、死机等情况，参选选手由队长举手示意裁判，在现场裁判与技术支持人员确定情况后，可更换服务器。更换服务器的等待时间，可在比赛结束后延时。</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（二）交换机问题预案</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若交换机在比赛过程中出现传输速度慢或无故中断等情况，参选选手由队长举手示意裁判，在现场裁判与技术支持人员确定情况后，可更换交换机。更换交换机的等待时间，可在比赛结束后延时。</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（三）</w:t>
      </w:r>
      <w:r>
        <w:rPr>
          <w:rFonts w:ascii="楷体" w:hAnsi="楷体" w:eastAsia="楷体"/>
          <w:sz w:val="32"/>
          <w:szCs w:val="32"/>
        </w:rPr>
        <w:t>PC</w:t>
      </w:r>
      <w:r>
        <w:rPr>
          <w:rFonts w:hint="eastAsia" w:ascii="楷体" w:hAnsi="楷体" w:eastAsia="楷体"/>
          <w:sz w:val="32"/>
          <w:szCs w:val="32"/>
        </w:rPr>
        <w:t>机问题预案</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机在比赛过程中出现死机、蓝屏等现象（重启后无法解决），参赛选手由队长举手示意裁判，在现场裁判与技术支持人员确定情况后，可更换备用工位或更换</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机进行答题。</w:t>
      </w:r>
    </w:p>
    <w:p>
      <w:pPr>
        <w:pStyle w:val="44"/>
        <w:spacing w:before="156" w:after="156"/>
        <w:ind w:firstLine="643" w:firstLineChars="200"/>
        <w:rPr>
          <w:b/>
          <w:sz w:val="32"/>
          <w:szCs w:val="32"/>
        </w:rPr>
      </w:pPr>
      <w:r>
        <w:rPr>
          <w:rFonts w:hint="eastAsia"/>
          <w:b/>
          <w:sz w:val="32"/>
          <w:szCs w:val="32"/>
        </w:rPr>
        <w:t>十二、申诉与仲裁</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各参赛队对不符合大赛和赛项规程规定的仪器、设备、工装、材料、物件、计算机软硬件、竞赛使用工具、用品，竞赛执裁、赛场管理，以及工作人员的不规范行为等，可向仲裁组提出申诉。</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申诉主体为参赛队领队。</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申诉启动时，参赛队以该队领队亲笔签字同意的书面报告的形式递交仲裁组。报告应对申诉事件的现象、发生时间、涉及人员、申诉依据等进行充分、实事求是的叙述。非书面申诉不予受理。</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提出申诉应在赛项比赛结束后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小时内向仲裁组提出。超过时效不予受理。</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仲裁工作组在接到申诉报告后的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小时内组织复议，并及时将复议结果以书面形式告知申诉方。</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对仲裁组复议结果不服的，可由代表队所在院校校级领导向大赛仲裁委员会提出申诉。大赛仲裁委员会的仲裁结果为最终结果。</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申诉方不得以任何理由拒绝接收仲裁结果；不得以任何理由采取过激行为扰乱赛场秩序；仲裁结果由申诉人签收，不能代收；如在约定时间和地点申诉人离开，视为自行放弃申诉。</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申诉方可随时提出放弃申诉。</w:t>
      </w:r>
    </w:p>
    <w:p>
      <w:pPr>
        <w:pStyle w:val="44"/>
        <w:spacing w:before="156" w:after="156"/>
        <w:ind w:firstLine="643" w:firstLineChars="200"/>
        <w:rPr>
          <w:b/>
          <w:sz w:val="32"/>
          <w:szCs w:val="32"/>
        </w:rPr>
      </w:pPr>
      <w:r>
        <w:rPr>
          <w:rFonts w:hint="eastAsia"/>
          <w:b/>
          <w:sz w:val="32"/>
          <w:szCs w:val="32"/>
        </w:rPr>
        <w:t>十三、竞赛须知</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（一）参赛队须知</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团体赛不得跨校组队，同一学校相同项目报名参赛队不超过</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支。每支参赛队由</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名参赛选手组成。每队限报</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名指导教师，指导老师须为本校专兼职教师。</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参赛队应仔细阅读大赛执委会发布的文件内容，确切了解大赛时间安排、评判细节等，以保证顺利参赛；要按执委会统一要求，准时到达赛前说明会现场，会议期间要认真领会会议内容，如有不明之处，可直接向工作人员询问。</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参赛队按照大赛赛程安排，凭大赛执委会颁发的参赛证和有效身份证件参加竞赛及相关活动。</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在比赛期间，各参赛团队应遵守大赛举办院校疫情防控要求，佩戴口罩等；各参赛队要注意饮食卫生，防止食物中毒；各参赛队要保证所有参赛选手的安全，防止交通事故和其他意外情况的发生。</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参加比赛前要求参赛队为参赛选手购买人身意外伤害保险。</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各参赛队应在竞赛开始前一天规定的时间段进入赛场熟悉环境。入场后，赛场工作人员与参赛选手共同确认操作条件及设备状况。</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凡在竞赛期间提前离开的选手，当天不得返回赛场。</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在竞赛中如遇非人为因素造成的设备故障，经裁判员确认后，可向裁判长申请补足排除故障的时间。</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本规则没有规定的行为，裁判组有权做出裁决。在有争议的情况下，仲裁工作组的裁决是最终裁决。</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本竞赛项目的解释权归大赛执委会。</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（二）指导教师须知</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各参赛代表队要发扬良好道德风尚，听从指挥，服从裁判，不弄虚作假。如发现弄虚作假者，取消参赛资格，名次无效。</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各代表队领队要坚决执行竞赛的各项规定，加强对参赛人员的管理，做好赛前准备工作，督促选手带好证件等竞赛相关材料。</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竞赛过程中，除参加当场次竞赛的选手、执行裁判员、现场工作人员和经批准的人员外，领队、指导教师及其他人员一律不得进入竞赛现场。</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参赛代表队若对竞赛过程有异议，在规定的时间内由领队向赛项仲裁工作组提出书面报告。</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对申诉的仲裁结果，领队要带头服从和执行，并做好选手工作。参赛选手不得因申诉或对处理意见不服而停止竞赛，否则以弃权处理。</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指导老师应及时查看大赛专用网页有关赛项的通知和内容，认真研究和掌握本赛项竞赛的规程、技术规范和赛场要求，指导选手做好赛前的一切技术准备和竞赛准备。</w:t>
      </w:r>
    </w:p>
    <w:p>
      <w:pPr>
        <w:spacing w:line="600" w:lineRule="exact"/>
        <w:ind w:firstLine="640" w:firstLineChars="200"/>
        <w:jc w:val="left"/>
        <w:rPr>
          <w:rFonts w:ascii="楷体" w:hAnsi="楷体" w:eastAsia="楷体"/>
          <w:sz w:val="32"/>
          <w:szCs w:val="32"/>
        </w:rPr>
      </w:pPr>
      <w:r>
        <w:rPr>
          <w:rFonts w:hint="eastAsia" w:ascii="楷体" w:hAnsi="楷体" w:eastAsia="楷体"/>
          <w:sz w:val="32"/>
          <w:szCs w:val="32"/>
        </w:rPr>
        <w:t>（三）工作人员须知</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赛项全体工作人员必须服从执委会统一指挥，要以高度负责的态度做好比赛服务工作，全程佩戴口罩。</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全体工作人员要按照工作分区准时到岗，尽职尽责，做好职责工作并做好临时性工作，保证比赛顺利进行。</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全体工作人员必须佩戴标志，认真检查证件，经核对无误后方可允许相关人员进入指定地点。</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如遇突发事件要及时向执委会报告，同时做好疏导工作，避免重大事故发生，确保大赛圆满成功。</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各工作组负责人，要坚守岗位，组织落实本组成员高效率完成各自工作任务，做好监督协调工作。</w:t>
      </w:r>
    </w:p>
    <w:p>
      <w:pPr>
        <w:pStyle w:val="5"/>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全体工作人员不得在比赛场内接打电话，以保证赛场设施的正常工作。</w:t>
      </w:r>
    </w:p>
    <w:p>
      <w:pPr>
        <w:pStyle w:val="44"/>
        <w:spacing w:before="156" w:after="156"/>
        <w:ind w:firstLine="643" w:firstLineChars="200"/>
        <w:rPr>
          <w:b/>
          <w:sz w:val="32"/>
          <w:szCs w:val="32"/>
        </w:rPr>
      </w:pPr>
      <w:r>
        <w:rPr>
          <w:rFonts w:hint="eastAsia"/>
          <w:b/>
          <w:sz w:val="32"/>
          <w:szCs w:val="32"/>
        </w:rPr>
        <w:t>十四、安全保障</w:t>
      </w:r>
    </w:p>
    <w:p>
      <w:pPr>
        <w:pStyle w:val="5"/>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赛事安全是直播运营推广技能竞赛一切工作顺利开展的先决条件，是赛事筹备和运行工作必须考虑的核心问题。赛项执委会采取切实有效措施保证大赛期间参赛选手、指导教师、工作人员及观众的人身安全。</w:t>
      </w:r>
    </w:p>
    <w:p>
      <w:pPr>
        <w:spacing w:line="560" w:lineRule="exact"/>
        <w:rPr>
          <w:rFonts w:ascii="仿宋_GB2312" w:hAnsi="仿宋_GB2312" w:eastAsia="仿宋_GB2312" w:cs="仿宋_GB2312"/>
          <w:sz w:val="32"/>
          <w:szCs w:val="32"/>
        </w:rPr>
      </w:pPr>
    </w:p>
    <w:sectPr>
      <w:footerReference r:id="rId5" w:type="default"/>
      <w:pgSz w:w="11906" w:h="16838"/>
      <w:pgMar w:top="2041" w:right="1418" w:bottom="1985"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OEEEEV+FZHTJW--GB1-0">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17</w:t>
    </w:r>
    <w:r>
      <w:rPr>
        <w:b/>
        <w:bCs/>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4A0"/>
    <w:rsid w:val="000554A0"/>
    <w:rsid w:val="000B3B3D"/>
    <w:rsid w:val="000B72A3"/>
    <w:rsid w:val="00286628"/>
    <w:rsid w:val="002A486E"/>
    <w:rsid w:val="00312D1F"/>
    <w:rsid w:val="00336012"/>
    <w:rsid w:val="00663DE0"/>
    <w:rsid w:val="006D5664"/>
    <w:rsid w:val="00773B4D"/>
    <w:rsid w:val="00823746"/>
    <w:rsid w:val="00874388"/>
    <w:rsid w:val="008B67FC"/>
    <w:rsid w:val="009D097D"/>
    <w:rsid w:val="00A25733"/>
    <w:rsid w:val="00D32133"/>
    <w:rsid w:val="00E26DD9"/>
    <w:rsid w:val="00ED56DE"/>
    <w:rsid w:val="00FB6E29"/>
    <w:rsid w:val="2DD55342"/>
    <w:rsid w:val="3FD44739"/>
    <w:rsid w:val="746C781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name="Normal Indent"/>
    <w:lsdException w:uiPriority="99" w:name="footnote text" w:locked="1"/>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unhideWhenUsed="0" w:uiPriority="99" w:semiHidden="0" w:name="Document Map"/>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30"/>
      <w:szCs w:val="44"/>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4"/>
    <w:qFormat/>
    <w:uiPriority w:val="99"/>
    <w:pPr>
      <w:keepNext/>
      <w:keepLines/>
      <w:spacing w:before="260" w:after="260" w:line="413" w:lineRule="auto"/>
      <w:outlineLvl w:val="2"/>
    </w:pPr>
    <w:rPr>
      <w:b/>
      <w:bCs/>
      <w:kern w:val="0"/>
      <w:sz w:val="32"/>
      <w:szCs w:val="32"/>
    </w:rPr>
  </w:style>
  <w:style w:type="character" w:default="1" w:styleId="16">
    <w:name w:val="Default Paragraph Font"/>
    <w:semiHidden/>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iPriority w:val="99"/>
    <w:pPr>
      <w:ind w:firstLine="420"/>
    </w:pPr>
    <w:rPr>
      <w:szCs w:val="20"/>
    </w:rPr>
  </w:style>
  <w:style w:type="paragraph" w:styleId="6">
    <w:name w:val="Document Map"/>
    <w:basedOn w:val="1"/>
    <w:link w:val="25"/>
    <w:uiPriority w:val="99"/>
    <w:rPr>
      <w:rFonts w:ascii="宋体"/>
      <w:sz w:val="18"/>
      <w:szCs w:val="18"/>
    </w:rPr>
  </w:style>
  <w:style w:type="paragraph" w:styleId="7">
    <w:name w:val="annotation text"/>
    <w:basedOn w:val="1"/>
    <w:link w:val="26"/>
    <w:uiPriority w:val="99"/>
    <w:pPr>
      <w:jc w:val="left"/>
    </w:pPr>
    <w:rPr>
      <w:rFonts w:ascii="Calibri" w:hAnsi="Calibri"/>
    </w:rPr>
  </w:style>
  <w:style w:type="paragraph" w:styleId="8">
    <w:name w:val="Balloon Text"/>
    <w:basedOn w:val="1"/>
    <w:link w:val="27"/>
    <w:semiHidden/>
    <w:uiPriority w:val="99"/>
    <w:rPr>
      <w:sz w:val="18"/>
      <w:szCs w:val="18"/>
    </w:rPr>
  </w:style>
  <w:style w:type="paragraph" w:styleId="9">
    <w:name w:val="footer"/>
    <w:basedOn w:val="1"/>
    <w:link w:val="28"/>
    <w:uiPriority w:val="99"/>
    <w:pPr>
      <w:tabs>
        <w:tab w:val="center" w:pos="4153"/>
        <w:tab w:val="right" w:pos="8306"/>
      </w:tabs>
      <w:snapToGrid w:val="0"/>
      <w:jc w:val="left"/>
    </w:pPr>
    <w:rPr>
      <w:kern w:val="0"/>
      <w:sz w:val="18"/>
      <w:szCs w:val="18"/>
    </w:rPr>
  </w:style>
  <w:style w:type="paragraph" w:styleId="10">
    <w:name w:val="header"/>
    <w:basedOn w:val="1"/>
    <w:link w:val="29"/>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uiPriority w:val="99"/>
    <w:pPr>
      <w:widowControl/>
      <w:spacing w:line="300" w:lineRule="atLeast"/>
    </w:pPr>
    <w:rPr>
      <w:rFonts w:ascii="宋体" w:hAnsi="宋体" w:cs="宋体"/>
      <w:color w:val="000000"/>
      <w:kern w:val="0"/>
      <w:sz w:val="18"/>
      <w:szCs w:val="18"/>
    </w:rPr>
  </w:style>
  <w:style w:type="paragraph" w:styleId="12">
    <w:name w:val="Title"/>
    <w:basedOn w:val="1"/>
    <w:next w:val="1"/>
    <w:link w:val="30"/>
    <w:qFormat/>
    <w:uiPriority w:val="99"/>
    <w:pPr>
      <w:spacing w:before="240" w:after="60"/>
      <w:jc w:val="center"/>
      <w:outlineLvl w:val="0"/>
    </w:pPr>
    <w:rPr>
      <w:rFonts w:ascii="Cambria" w:hAnsi="Cambria"/>
      <w:b/>
      <w:bCs/>
      <w:sz w:val="32"/>
      <w:szCs w:val="32"/>
    </w:rPr>
  </w:style>
  <w:style w:type="paragraph" w:styleId="13">
    <w:name w:val="annotation subject"/>
    <w:basedOn w:val="7"/>
    <w:next w:val="7"/>
    <w:link w:val="31"/>
    <w:semiHidden/>
    <w:uiPriority w:val="99"/>
    <w:rPr>
      <w:b/>
      <w:bCs/>
    </w:rPr>
  </w:style>
  <w:style w:type="table" w:styleId="15">
    <w:name w:val="Table Grid"/>
    <w:basedOn w:val="14"/>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99"/>
    <w:rPr>
      <w:rFonts w:cs="Times New Roman"/>
      <w:b/>
    </w:rPr>
  </w:style>
  <w:style w:type="character" w:styleId="18">
    <w:name w:val="page number"/>
    <w:basedOn w:val="16"/>
    <w:uiPriority w:val="99"/>
    <w:rPr>
      <w:rFonts w:cs="Times New Roman"/>
    </w:rPr>
  </w:style>
  <w:style w:type="character" w:styleId="19">
    <w:name w:val="FollowedHyperlink"/>
    <w:basedOn w:val="16"/>
    <w:uiPriority w:val="99"/>
    <w:rPr>
      <w:rFonts w:cs="Times New Roman"/>
      <w:color w:val="800080"/>
      <w:u w:val="single"/>
    </w:rPr>
  </w:style>
  <w:style w:type="character" w:styleId="20">
    <w:name w:val="Hyperlink"/>
    <w:basedOn w:val="16"/>
    <w:uiPriority w:val="99"/>
    <w:rPr>
      <w:rFonts w:cs="Times New Roman"/>
      <w:color w:val="0000FF"/>
      <w:u w:val="single"/>
    </w:rPr>
  </w:style>
  <w:style w:type="character" w:styleId="21">
    <w:name w:val="annotation reference"/>
    <w:basedOn w:val="16"/>
    <w:semiHidden/>
    <w:uiPriority w:val="99"/>
    <w:rPr>
      <w:rFonts w:cs="Times New Roman"/>
      <w:sz w:val="21"/>
    </w:rPr>
  </w:style>
  <w:style w:type="character" w:customStyle="1" w:styleId="22">
    <w:name w:val="Heading 1 Char"/>
    <w:basedOn w:val="16"/>
    <w:link w:val="2"/>
    <w:locked/>
    <w:uiPriority w:val="99"/>
    <w:rPr>
      <w:rFonts w:ascii="Times New Roman" w:hAnsi="Times New Roman" w:cs="Times New Roman"/>
      <w:b/>
      <w:bCs/>
      <w:kern w:val="44"/>
      <w:sz w:val="44"/>
      <w:szCs w:val="44"/>
    </w:rPr>
  </w:style>
  <w:style w:type="character" w:customStyle="1" w:styleId="23">
    <w:name w:val="Heading 2 Char"/>
    <w:basedOn w:val="16"/>
    <w:link w:val="3"/>
    <w:semiHidden/>
    <w:locked/>
    <w:uiPriority w:val="99"/>
    <w:rPr>
      <w:rFonts w:ascii="Cambria" w:hAnsi="Cambria" w:eastAsia="宋体" w:cs="Times New Roman"/>
      <w:b/>
      <w:kern w:val="2"/>
      <w:sz w:val="32"/>
    </w:rPr>
  </w:style>
  <w:style w:type="character" w:customStyle="1" w:styleId="24">
    <w:name w:val="Heading 3 Char"/>
    <w:basedOn w:val="16"/>
    <w:link w:val="4"/>
    <w:locked/>
    <w:uiPriority w:val="99"/>
    <w:rPr>
      <w:rFonts w:ascii="Times New Roman" w:hAnsi="Times New Roman" w:eastAsia="宋体" w:cs="Times New Roman"/>
      <w:b/>
      <w:sz w:val="32"/>
    </w:rPr>
  </w:style>
  <w:style w:type="character" w:customStyle="1" w:styleId="25">
    <w:name w:val="Document Map Char"/>
    <w:basedOn w:val="16"/>
    <w:link w:val="6"/>
    <w:semiHidden/>
    <w:locked/>
    <w:uiPriority w:val="99"/>
    <w:rPr>
      <w:rFonts w:ascii="宋体" w:cs="Times New Roman"/>
      <w:kern w:val="2"/>
      <w:sz w:val="18"/>
      <w:szCs w:val="18"/>
    </w:rPr>
  </w:style>
  <w:style w:type="character" w:customStyle="1" w:styleId="26">
    <w:name w:val="Comment Text Char"/>
    <w:basedOn w:val="16"/>
    <w:link w:val="7"/>
    <w:locked/>
    <w:uiPriority w:val="99"/>
    <w:rPr>
      <w:rFonts w:eastAsia="宋体" w:cs="Times New Roman"/>
      <w:kern w:val="2"/>
      <w:sz w:val="24"/>
      <w:lang w:val="en-US" w:eastAsia="zh-CN"/>
    </w:rPr>
  </w:style>
  <w:style w:type="character" w:customStyle="1" w:styleId="27">
    <w:name w:val="Balloon Text Char"/>
    <w:basedOn w:val="16"/>
    <w:link w:val="8"/>
    <w:semiHidden/>
    <w:locked/>
    <w:uiPriority w:val="99"/>
    <w:rPr>
      <w:rFonts w:ascii="Times New Roman" w:hAnsi="Times New Roman" w:cs="Times New Roman"/>
      <w:sz w:val="2"/>
    </w:rPr>
  </w:style>
  <w:style w:type="character" w:customStyle="1" w:styleId="28">
    <w:name w:val="Footer Char"/>
    <w:basedOn w:val="16"/>
    <w:link w:val="9"/>
    <w:locked/>
    <w:uiPriority w:val="99"/>
    <w:rPr>
      <w:rFonts w:ascii="Times New Roman" w:hAnsi="Times New Roman" w:eastAsia="宋体" w:cs="Times New Roman"/>
      <w:sz w:val="18"/>
    </w:rPr>
  </w:style>
  <w:style w:type="character" w:customStyle="1" w:styleId="29">
    <w:name w:val="Header Char"/>
    <w:basedOn w:val="16"/>
    <w:link w:val="10"/>
    <w:locked/>
    <w:uiPriority w:val="99"/>
    <w:rPr>
      <w:rFonts w:ascii="Times New Roman" w:hAnsi="Times New Roman" w:eastAsia="宋体" w:cs="Times New Roman"/>
      <w:sz w:val="18"/>
    </w:rPr>
  </w:style>
  <w:style w:type="character" w:customStyle="1" w:styleId="30">
    <w:name w:val="Title Char"/>
    <w:basedOn w:val="16"/>
    <w:link w:val="12"/>
    <w:locked/>
    <w:uiPriority w:val="99"/>
    <w:rPr>
      <w:rFonts w:ascii="Cambria" w:hAnsi="Cambria" w:cs="Times New Roman"/>
      <w:b/>
      <w:bCs/>
      <w:sz w:val="32"/>
      <w:szCs w:val="32"/>
    </w:rPr>
  </w:style>
  <w:style w:type="character" w:customStyle="1" w:styleId="31">
    <w:name w:val="Comment Subject Char"/>
    <w:basedOn w:val="26"/>
    <w:link w:val="13"/>
    <w:semiHidden/>
    <w:locked/>
    <w:uiPriority w:val="99"/>
    <w:rPr>
      <w:rFonts w:ascii="Times New Roman" w:hAnsi="Times New Roman"/>
      <w:b/>
      <w:bCs/>
      <w:szCs w:val="24"/>
    </w:rPr>
  </w:style>
  <w:style w:type="character" w:customStyle="1" w:styleId="32">
    <w:name w:val="font11"/>
    <w:uiPriority w:val="99"/>
    <w:rPr>
      <w:rFonts w:ascii="宋体" w:hAnsi="宋体" w:eastAsia="宋体"/>
      <w:color w:val="0000FF"/>
      <w:sz w:val="21"/>
      <w:u w:val="none"/>
    </w:rPr>
  </w:style>
  <w:style w:type="character" w:customStyle="1" w:styleId="33">
    <w:name w:val="2-二级标题 Char"/>
    <w:link w:val="34"/>
    <w:locked/>
    <w:uiPriority w:val="99"/>
    <w:rPr>
      <w:rFonts w:ascii="黑体" w:hAnsi="黑体" w:eastAsia="黑体"/>
      <w:b/>
      <w:sz w:val="28"/>
    </w:rPr>
  </w:style>
  <w:style w:type="paragraph" w:customStyle="1" w:styleId="34">
    <w:name w:val="2-二级标题"/>
    <w:basedOn w:val="3"/>
    <w:link w:val="33"/>
    <w:qFormat/>
    <w:uiPriority w:val="99"/>
    <w:pPr>
      <w:adjustRightInd w:val="0"/>
      <w:snapToGrid w:val="0"/>
      <w:spacing w:before="0" w:after="0" w:line="240" w:lineRule="atLeast"/>
      <w:jc w:val="center"/>
    </w:pPr>
    <w:rPr>
      <w:rFonts w:ascii="黑体" w:hAnsi="黑体" w:eastAsia="黑体"/>
      <w:bCs w:val="0"/>
      <w:kern w:val="0"/>
      <w:sz w:val="28"/>
      <w:szCs w:val="20"/>
    </w:rPr>
  </w:style>
  <w:style w:type="character" w:customStyle="1" w:styleId="35">
    <w:name w:val="font21"/>
    <w:qFormat/>
    <w:uiPriority w:val="99"/>
    <w:rPr>
      <w:rFonts w:ascii="仿宋_GB2312" w:eastAsia="仿宋_GB2312"/>
      <w:color w:val="0000FF"/>
      <w:sz w:val="24"/>
      <w:u w:val="none"/>
    </w:rPr>
  </w:style>
  <w:style w:type="paragraph" w:customStyle="1" w:styleId="36">
    <w:name w:val="列出段落1"/>
    <w:basedOn w:val="1"/>
    <w:qFormat/>
    <w:uiPriority w:val="99"/>
    <w:pPr>
      <w:widowControl/>
      <w:spacing w:after="200" w:line="252" w:lineRule="auto"/>
      <w:ind w:left="720"/>
      <w:contextualSpacing/>
      <w:jc w:val="left"/>
    </w:pPr>
    <w:rPr>
      <w:rFonts w:ascii="Cambria" w:hAnsi="Cambria"/>
      <w:kern w:val="0"/>
      <w:sz w:val="22"/>
      <w:szCs w:val="22"/>
      <w:lang w:eastAsia="en-US"/>
    </w:rPr>
  </w:style>
  <w:style w:type="paragraph" w:customStyle="1" w:styleId="37">
    <w:name w:val="_Style 1"/>
    <w:basedOn w:val="1"/>
    <w:qFormat/>
    <w:uiPriority w:val="99"/>
    <w:pPr>
      <w:widowControl/>
      <w:spacing w:after="200" w:line="252" w:lineRule="auto"/>
      <w:ind w:left="720"/>
      <w:contextualSpacing/>
      <w:jc w:val="left"/>
    </w:pPr>
    <w:rPr>
      <w:rFonts w:ascii="Cambria" w:hAnsi="Cambria"/>
      <w:kern w:val="0"/>
      <w:sz w:val="22"/>
      <w:szCs w:val="22"/>
      <w:lang w:eastAsia="en-US"/>
    </w:rPr>
  </w:style>
  <w:style w:type="character" w:customStyle="1" w:styleId="38">
    <w:name w:val="5-内文 Char"/>
    <w:link w:val="39"/>
    <w:qFormat/>
    <w:locked/>
    <w:uiPriority w:val="99"/>
    <w:rPr>
      <w:rFonts w:eastAsia="仿宋_GB2312"/>
      <w:sz w:val="28"/>
    </w:rPr>
  </w:style>
  <w:style w:type="paragraph" w:customStyle="1" w:styleId="39">
    <w:name w:val="5-内文"/>
    <w:basedOn w:val="1"/>
    <w:link w:val="38"/>
    <w:qFormat/>
    <w:uiPriority w:val="99"/>
    <w:pPr>
      <w:spacing w:beforeLines="25" w:afterLines="25" w:line="300" w:lineRule="auto"/>
      <w:ind w:firstLine="200" w:firstLineChars="200"/>
    </w:pPr>
    <w:rPr>
      <w:rFonts w:ascii="Calibri" w:hAnsi="Calibri" w:eastAsia="仿宋_GB2312"/>
      <w:kern w:val="0"/>
      <w:sz w:val="28"/>
      <w:szCs w:val="20"/>
    </w:rPr>
  </w:style>
  <w:style w:type="paragraph" w:customStyle="1" w:styleId="40">
    <w:name w:val="列出段落11"/>
    <w:basedOn w:val="1"/>
    <w:qFormat/>
    <w:uiPriority w:val="99"/>
    <w:pPr>
      <w:widowControl/>
      <w:spacing w:after="160" w:line="259" w:lineRule="auto"/>
      <w:ind w:firstLine="420" w:firstLineChars="200"/>
      <w:jc w:val="left"/>
    </w:pPr>
    <w:rPr>
      <w:rFonts w:ascii="Calibri" w:hAnsi="Calibri"/>
      <w:kern w:val="0"/>
      <w:sz w:val="22"/>
      <w:szCs w:val="22"/>
    </w:rPr>
  </w:style>
  <w:style w:type="paragraph" w:customStyle="1" w:styleId="41">
    <w:name w:val="列出段落2"/>
    <w:basedOn w:val="1"/>
    <w:qFormat/>
    <w:uiPriority w:val="99"/>
    <w:pPr>
      <w:ind w:firstLine="420" w:firstLineChars="200"/>
    </w:pPr>
  </w:style>
  <w:style w:type="character" w:customStyle="1" w:styleId="42">
    <w:name w:val="fontstyle01"/>
    <w:basedOn w:val="16"/>
    <w:qFormat/>
    <w:uiPriority w:val="99"/>
    <w:rPr>
      <w:rFonts w:ascii="仿宋_GB2312" w:eastAsia="仿宋_GB2312" w:cs="Times New Roman"/>
      <w:color w:val="000000"/>
      <w:sz w:val="30"/>
      <w:szCs w:val="30"/>
    </w:rPr>
  </w:style>
  <w:style w:type="paragraph" w:customStyle="1" w:styleId="43">
    <w:name w:val="Pa4"/>
    <w:basedOn w:val="1"/>
    <w:next w:val="1"/>
    <w:qFormat/>
    <w:uiPriority w:val="99"/>
    <w:pPr>
      <w:autoSpaceDE w:val="0"/>
      <w:autoSpaceDN w:val="0"/>
      <w:adjustRightInd w:val="0"/>
      <w:spacing w:line="301" w:lineRule="atLeast"/>
      <w:jc w:val="left"/>
    </w:pPr>
    <w:rPr>
      <w:rFonts w:ascii="OEEEEV+FZHTJW--GB1-0" w:eastAsia="OEEEEV+FZHTJW--GB1-0"/>
      <w:kern w:val="0"/>
      <w:sz w:val="24"/>
    </w:rPr>
  </w:style>
  <w:style w:type="paragraph" w:customStyle="1" w:styleId="44">
    <w:name w:val="样式1"/>
    <w:basedOn w:val="2"/>
    <w:qFormat/>
    <w:uiPriority w:val="99"/>
    <w:pPr>
      <w:adjustRightInd w:val="0"/>
      <w:snapToGrid w:val="0"/>
      <w:spacing w:beforeLines="50" w:afterLines="50" w:line="300" w:lineRule="auto"/>
    </w:pPr>
    <w:rPr>
      <w:rFonts w:ascii="黑体" w:hAnsi="黑体" w:eastAsia="黑体" w:cs="宋体"/>
      <w:b w:val="0"/>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18</Pages>
  <Words>1158</Words>
  <Characters>6603</Characters>
  <Lines>0</Lines>
  <Paragraphs>0</Paragraphs>
  <TotalTime>36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2021-03-20T08:42:00Z</dcterms:created>
  <dc:creator>IOYY</dc:creator>
  <cp:lastModifiedBy>hp</cp:lastModifiedBy>
  <cp:lastPrinted>2018-11-07T08:52:00Z</cp:lastPrinted>
  <dcterms:modified xsi:type="dcterms:W3CDTF">2021-03-23T02:10:41Z</dcterms:modified>
  <dc:title>2014年全国职业院校技能大赛</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FC9E7AE8B22748F4ACFF9F65D9245FCD</vt:lpwstr>
  </property>
</Properties>
</file>