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val="0"/>
          <w:kern w:val="2"/>
          <w:sz w:val="48"/>
          <w:szCs w:val="48"/>
          <w:lang w:val="en-US" w:eastAsia="zh-CN" w:bidi="ar-SA"/>
        </w:rPr>
      </w:pPr>
    </w:p>
    <w:p>
      <w:pPr>
        <w:jc w:val="center"/>
        <w:rPr>
          <w:rFonts w:hint="eastAsia" w:ascii="黑体" w:hAnsi="黑体" w:eastAsia="黑体" w:cs="黑体"/>
          <w:b/>
          <w:bCs w:val="0"/>
          <w:kern w:val="2"/>
          <w:sz w:val="48"/>
          <w:szCs w:val="48"/>
          <w:lang w:val="en-US" w:eastAsia="zh-CN" w:bidi="ar-SA"/>
        </w:rPr>
      </w:pPr>
    </w:p>
    <w:p>
      <w:pPr>
        <w:jc w:val="center"/>
        <w:rPr>
          <w:rFonts w:hint="eastAsia" w:ascii="黑体" w:hAnsi="黑体" w:eastAsia="黑体" w:cs="黑体"/>
          <w:b/>
          <w:bCs w:val="0"/>
          <w:kern w:val="2"/>
          <w:sz w:val="48"/>
          <w:szCs w:val="48"/>
          <w:lang w:val="en-US" w:eastAsia="zh-CN" w:bidi="ar-SA"/>
        </w:rPr>
      </w:pPr>
      <w:r>
        <w:rPr>
          <w:rFonts w:hint="eastAsia" w:ascii="黑体" w:hAnsi="黑体" w:eastAsia="黑体" w:cs="黑体"/>
          <w:b/>
          <w:bCs w:val="0"/>
          <w:kern w:val="2"/>
          <w:sz w:val="48"/>
          <w:szCs w:val="48"/>
          <w:lang w:val="en-US" w:eastAsia="zh-CN" w:bidi="ar-SA"/>
        </w:rPr>
        <w:t>2</w:t>
      </w:r>
      <w:r>
        <w:rPr>
          <w:rFonts w:hint="eastAsia" w:ascii="黑体" w:hAnsi="黑体" w:eastAsia="黑体" w:cs="黑体"/>
          <w:b/>
          <w:bCs w:val="0"/>
          <w:kern w:val="2"/>
          <w:sz w:val="48"/>
          <w:szCs w:val="48"/>
          <w:lang w:val="en-US" w:eastAsia="zh-CN" w:bidi="ar-SA"/>
        </w:rPr>
        <w:t>021年全省职业院校技能大赛职业院校</w:t>
      </w:r>
      <w:r>
        <w:rPr>
          <w:rFonts w:hint="eastAsia" w:ascii="黑体" w:hAnsi="黑体" w:eastAsia="黑体" w:cs="黑体"/>
          <w:b/>
          <w:bCs w:val="0"/>
          <w:kern w:val="2"/>
          <w:sz w:val="48"/>
          <w:szCs w:val="48"/>
          <w:lang w:val="en-US" w:eastAsia="zh-CN" w:bidi="ar-SA"/>
        </w:rPr>
        <w:t>班主任能力</w:t>
      </w:r>
    </w:p>
    <w:p>
      <w:pPr>
        <w:jc w:val="center"/>
        <w:rPr>
          <w:rFonts w:hint="eastAsia" w:ascii="黑体" w:hAnsi="黑体" w:eastAsia="黑体" w:cs="黑体"/>
          <w:b/>
          <w:bCs w:val="0"/>
          <w:kern w:val="2"/>
          <w:sz w:val="48"/>
          <w:szCs w:val="48"/>
          <w:lang w:val="en-US" w:eastAsia="zh-CN" w:bidi="ar-SA"/>
        </w:rPr>
      </w:pPr>
    </w:p>
    <w:p>
      <w:pPr>
        <w:jc w:val="center"/>
        <w:rPr>
          <w:rFonts w:hint="eastAsia" w:ascii="黑体" w:hAnsi="黑体" w:eastAsia="黑体" w:cs="黑体"/>
          <w:b/>
          <w:bCs w:val="0"/>
          <w:kern w:val="2"/>
          <w:sz w:val="48"/>
          <w:szCs w:val="48"/>
          <w:lang w:val="en-US" w:eastAsia="zh-CN" w:bidi="ar-SA"/>
        </w:rPr>
      </w:pPr>
    </w:p>
    <w:p>
      <w:pPr>
        <w:jc w:val="center"/>
        <w:rPr>
          <w:rFonts w:hint="eastAsia" w:ascii="黑体" w:hAnsi="黑体" w:eastAsia="黑体" w:cs="黑体"/>
          <w:b/>
          <w:bCs w:val="0"/>
          <w:kern w:val="2"/>
          <w:sz w:val="48"/>
          <w:szCs w:val="48"/>
          <w:lang w:val="en-US" w:eastAsia="zh-CN" w:bidi="ar-SA"/>
        </w:rPr>
      </w:pPr>
    </w:p>
    <w:p>
      <w:pPr>
        <w:jc w:val="center"/>
        <w:rPr>
          <w:rFonts w:hint="eastAsia" w:ascii="黑体" w:hAnsi="黑体" w:eastAsia="黑体" w:cs="黑体"/>
          <w:b/>
          <w:bCs w:val="0"/>
          <w:kern w:val="2"/>
          <w:sz w:val="48"/>
          <w:szCs w:val="48"/>
          <w:lang w:val="en-US" w:eastAsia="zh-CN" w:bidi="ar-SA"/>
        </w:rPr>
      </w:pPr>
    </w:p>
    <w:p>
      <w:pPr>
        <w:jc w:val="center"/>
        <w:rPr>
          <w:rFonts w:hint="eastAsia" w:ascii="黑体" w:hAnsi="黑体" w:eastAsia="黑体" w:cs="黑体"/>
          <w:b/>
          <w:bCs w:val="0"/>
          <w:kern w:val="2"/>
          <w:sz w:val="48"/>
          <w:szCs w:val="48"/>
          <w:lang w:val="en-US" w:eastAsia="zh-CN" w:bidi="ar-SA"/>
        </w:rPr>
      </w:pPr>
    </w:p>
    <w:p>
      <w:pPr>
        <w:jc w:val="center"/>
        <w:rPr>
          <w:rFonts w:hint="eastAsia" w:ascii="黑体" w:hAnsi="黑体" w:eastAsia="黑体" w:cs="黑体"/>
          <w:b/>
          <w:bCs w:val="0"/>
          <w:kern w:val="2"/>
          <w:sz w:val="48"/>
          <w:szCs w:val="48"/>
          <w:lang w:val="en-US" w:eastAsia="zh-CN" w:bidi="ar-SA"/>
        </w:rPr>
      </w:pPr>
      <w:r>
        <w:rPr>
          <w:rFonts w:hint="eastAsia" w:ascii="黑体" w:hAnsi="黑体" w:eastAsia="黑体" w:cs="黑体"/>
          <w:b/>
          <w:bCs w:val="0"/>
          <w:kern w:val="2"/>
          <w:sz w:val="48"/>
          <w:szCs w:val="48"/>
          <w:lang w:val="en-US" w:eastAsia="zh-CN" w:bidi="ar-SA"/>
        </w:rPr>
        <w:t>比</w:t>
      </w:r>
    </w:p>
    <w:p>
      <w:pPr>
        <w:jc w:val="center"/>
        <w:rPr>
          <w:rFonts w:hint="eastAsia" w:ascii="黑体" w:hAnsi="黑体" w:eastAsia="黑体" w:cs="黑体"/>
          <w:b/>
          <w:bCs w:val="0"/>
          <w:kern w:val="2"/>
          <w:sz w:val="48"/>
          <w:szCs w:val="48"/>
          <w:lang w:val="en-US" w:eastAsia="zh-CN" w:bidi="ar-SA"/>
        </w:rPr>
      </w:pPr>
      <w:r>
        <w:rPr>
          <w:rFonts w:hint="eastAsia" w:ascii="黑体" w:hAnsi="黑体" w:eastAsia="黑体" w:cs="黑体"/>
          <w:b/>
          <w:bCs w:val="0"/>
          <w:kern w:val="2"/>
          <w:sz w:val="48"/>
          <w:szCs w:val="48"/>
          <w:lang w:val="en-US" w:eastAsia="zh-CN" w:bidi="ar-SA"/>
        </w:rPr>
        <w:t>赛</w:t>
      </w:r>
    </w:p>
    <w:p>
      <w:pPr>
        <w:jc w:val="center"/>
        <w:rPr>
          <w:rFonts w:hint="eastAsia" w:ascii="黑体" w:hAnsi="黑体" w:eastAsia="黑体" w:cs="黑体"/>
          <w:b/>
          <w:bCs w:val="0"/>
          <w:kern w:val="2"/>
          <w:sz w:val="48"/>
          <w:szCs w:val="48"/>
          <w:lang w:val="en-US" w:eastAsia="zh-CN" w:bidi="ar-SA"/>
        </w:rPr>
      </w:pPr>
      <w:r>
        <w:rPr>
          <w:rFonts w:hint="eastAsia" w:ascii="黑体" w:hAnsi="黑体" w:eastAsia="黑体" w:cs="黑体"/>
          <w:b/>
          <w:bCs w:val="0"/>
          <w:kern w:val="2"/>
          <w:sz w:val="48"/>
          <w:szCs w:val="48"/>
          <w:lang w:val="en-US" w:eastAsia="zh-CN" w:bidi="ar-SA"/>
        </w:rPr>
        <w:t>方</w:t>
      </w:r>
    </w:p>
    <w:p>
      <w:pPr>
        <w:jc w:val="center"/>
        <w:rPr>
          <w:rFonts w:hint="eastAsia" w:ascii="黑体" w:hAnsi="黑体" w:eastAsia="黑体" w:cs="黑体"/>
          <w:b/>
          <w:bCs w:val="0"/>
          <w:kern w:val="2"/>
          <w:sz w:val="48"/>
          <w:szCs w:val="48"/>
          <w:lang w:val="en-US" w:eastAsia="zh-CN" w:bidi="ar-SA"/>
        </w:rPr>
      </w:pPr>
      <w:r>
        <w:rPr>
          <w:rFonts w:hint="eastAsia" w:ascii="黑体" w:hAnsi="黑体" w:eastAsia="黑体" w:cs="黑体"/>
          <w:b/>
          <w:bCs w:val="0"/>
          <w:kern w:val="2"/>
          <w:sz w:val="48"/>
          <w:szCs w:val="48"/>
          <w:lang w:val="en-US" w:eastAsia="zh-CN" w:bidi="ar-SA"/>
        </w:rPr>
        <w:t>案</w:t>
      </w:r>
    </w:p>
    <w:p>
      <w:pPr>
        <w:jc w:val="center"/>
        <w:rPr>
          <w:rFonts w:hint="eastAsia" w:ascii="黑体" w:hAnsi="黑体" w:eastAsia="黑体" w:cs="黑体"/>
          <w:b/>
          <w:bCs w:val="0"/>
          <w:kern w:val="2"/>
          <w:sz w:val="48"/>
          <w:szCs w:val="48"/>
          <w:lang w:val="en-US" w:eastAsia="zh-CN" w:bidi="ar-SA"/>
        </w:rPr>
      </w:pPr>
    </w:p>
    <w:p>
      <w:pPr>
        <w:jc w:val="center"/>
        <w:rPr>
          <w:rFonts w:hint="eastAsia" w:ascii="黑体" w:hAnsi="黑体" w:eastAsia="黑体" w:cs="黑体"/>
          <w:b/>
          <w:bCs w:val="0"/>
          <w:kern w:val="2"/>
          <w:sz w:val="48"/>
          <w:szCs w:val="48"/>
          <w:lang w:val="en-US" w:eastAsia="zh-CN" w:bidi="ar-SA"/>
        </w:rPr>
      </w:pPr>
    </w:p>
    <w:p>
      <w:pPr>
        <w:pStyle w:val="3"/>
        <w:spacing w:line="360" w:lineRule="auto"/>
        <w:ind w:firstLine="904" w:firstLineChars="250"/>
        <w:jc w:val="center"/>
        <w:rPr>
          <w:rFonts w:hint="eastAsia"/>
          <w:b/>
          <w:sz w:val="36"/>
          <w:szCs w:val="36"/>
        </w:rPr>
      </w:pPr>
    </w:p>
    <w:p>
      <w:pPr>
        <w:pStyle w:val="3"/>
        <w:spacing w:line="360" w:lineRule="auto"/>
        <w:ind w:firstLine="600" w:firstLineChars="250"/>
        <w:jc w:val="center"/>
        <w:rPr>
          <w:rFonts w:hint="eastAsia"/>
          <w:sz w:val="24"/>
          <w:szCs w:val="24"/>
        </w:rPr>
      </w:pPr>
    </w:p>
    <w:p>
      <w:pPr>
        <w:pStyle w:val="3"/>
        <w:spacing w:line="360" w:lineRule="auto"/>
        <w:ind w:firstLine="0"/>
        <w:jc w:val="center"/>
        <w:rPr>
          <w:rFonts w:hint="default"/>
          <w:lang w:val="en-US"/>
        </w:rPr>
        <w:sectPr>
          <w:footerReference r:id="rId4" w:type="first"/>
          <w:headerReference r:id="rId3" w:type="default"/>
          <w:pgSz w:w="11910" w:h="16840"/>
          <w:pgMar w:top="1440" w:right="1800" w:bottom="1440" w:left="1800" w:header="0" w:footer="1121" w:gutter="0"/>
          <w:cols w:space="720" w:num="1"/>
          <w:docGrid w:linePitch="286" w:charSpace="0"/>
        </w:sectPr>
      </w:pPr>
      <w:r>
        <w:rPr>
          <w:rFonts w:hint="eastAsia" w:ascii="黑体" w:hAnsi="黑体" w:eastAsia="黑体" w:cs="黑体"/>
          <w:sz w:val="36"/>
          <w:szCs w:val="36"/>
        </w:rPr>
        <w:t>二〇二</w:t>
      </w:r>
      <w:r>
        <w:rPr>
          <w:rFonts w:hint="eastAsia" w:ascii="黑体" w:hAnsi="黑体" w:eastAsia="黑体" w:cs="黑体"/>
          <w:sz w:val="36"/>
          <w:szCs w:val="36"/>
          <w:lang w:val="en-US" w:eastAsia="zh-CN"/>
        </w:rPr>
        <w:t>一年三月</w:t>
      </w:r>
    </w:p>
    <w:p>
      <w:pPr>
        <w:pStyle w:val="14"/>
        <w:keepNext/>
        <w:ind w:firstLine="643" w:firstLineChars="200"/>
        <w:jc w:val="both"/>
        <w:rPr>
          <w:rFonts w:hint="eastAsia"/>
          <w:b/>
          <w:bCs/>
          <w:sz w:val="32"/>
          <w:szCs w:val="32"/>
        </w:rPr>
      </w:pPr>
      <w:r>
        <w:rPr>
          <w:rFonts w:hint="eastAsia"/>
          <w:b/>
          <w:bCs/>
          <w:sz w:val="32"/>
          <w:szCs w:val="32"/>
        </w:rPr>
        <w:t>一、指导思想</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以习近平新时代中国特色社会主义思想为指导，全面贯彻党的教</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育方针，落实立德树人根本任务，贯彻党的教育方针，落实立德树人根本任务，贯彻全国教育大会精神和《国家职业教育改革实施方案》部署，积极推进职业教育领域“三全育人”，培育和践行社会主义核心价值观。坚持赛训一体、以赛促建。推动我省职业院校加强班主任队伍专业化建设，提高教育教学、组织管理、人际沟通和职业指导等方面能力，发挥班主任在学校实施教书育人、管理育人、服务育人和沟通学校、家庭、用人单位等方面的重要作用，提高我省职业院校学生管理和德育水平，促进学生德智体美劳全面发展。</w:t>
      </w:r>
    </w:p>
    <w:p>
      <w:pPr>
        <w:pStyle w:val="14"/>
        <w:keepNext/>
        <w:ind w:firstLine="643" w:firstLineChars="200"/>
        <w:jc w:val="both"/>
        <w:rPr>
          <w:rFonts w:hint="eastAsia"/>
          <w:b/>
          <w:bCs/>
          <w:sz w:val="32"/>
          <w:szCs w:val="32"/>
        </w:rPr>
      </w:pPr>
      <w:r>
        <w:rPr>
          <w:rFonts w:hint="eastAsia"/>
          <w:b/>
          <w:bCs/>
          <w:sz w:val="32"/>
          <w:szCs w:val="32"/>
        </w:rPr>
        <w:t>二、比赛分组</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比赛分为高职业务能力组、中职业务能力组等两个组别。</w:t>
      </w:r>
    </w:p>
    <w:p>
      <w:pPr>
        <w:pStyle w:val="14"/>
        <w:keepNext/>
        <w:ind w:firstLine="643" w:firstLineChars="200"/>
        <w:jc w:val="both"/>
        <w:rPr>
          <w:rFonts w:hint="eastAsia"/>
          <w:b/>
          <w:bCs/>
          <w:sz w:val="32"/>
          <w:szCs w:val="32"/>
        </w:rPr>
      </w:pPr>
      <w:r>
        <w:rPr>
          <w:rFonts w:hint="eastAsia"/>
          <w:b/>
          <w:bCs/>
          <w:sz w:val="32"/>
          <w:szCs w:val="32"/>
        </w:rPr>
        <w:t>三、业务能力组比赛方案</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（一）比赛要求</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重点考察职业院校班主任针对所带班级，深入开闸南极情况分析，</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确定班级建设目标，围绕学生思想工作、班级管理工作、组织班级活动、职业指导工作、沟通协调工作等方面，周密制订班级建设方案，扎实推进建班育人，妥善应对突发事件，并根据学生成长情况及时总结改进的能力。</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1.开展班级情况分析</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全面了解目前所带班级每一名学生入学时的家庭情况、身心健康状况、个性特点、学业基础、爱好特长、发展诉求等，并密切关注变化情况，结合所属专业，深入分析建班育人实践中需要重点关注的工</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作领域、学生个体，以及可能面临的困难和需要重点解决的问题。</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2.制订班级建设方案</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现先进教育理念，坚持依法治教，根据《新时代爱国主义教育实施纲要》《新时代公民道德建设纲要》《中国学生发展核心素养》《大中小学劳动教育指导纲要（试行）》、职业教育国家教学标准、学校专业人才培养方案和行业企业人才需求实际等，结合职业院校学生思想、行为特点和班级情况实际，遵循教育教学规律、思想政治工作规律和技术技能人才成长规律，坚持班级整体建设与学生个人培养有机统一，注重发挥学生主体作用，科学合理确定班级建设目标，统筹规划所带班级整个职业教育阶段的各项工作。将立德树人放在首要位置，融入班级建设全过程，深入开展习近平新时代中国特色社会主义思想教育，培育和践行社会主义核心价值观，坚持爱国和爱党、爱社会主义高度统一，加强党史、新中国史、改革开放史、社会主义发展史教育和爱国主义、集体主义、社会主义教育，传承中华优秀传统文化，着力开展劳动教育，突出劳动精神、劳模精神、工匠精神培育，培养学生的创新精神和实践能力，注重调动各方协同育人，整合运用有关资源，形成育人合力。</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3.扎实推进建班育人</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生思想工作。帮助引导学生深化对习近平新时代中国特色社会主义思想的任职理解。密切关注学生思想、心理、学习、生活状况，坚持以心与心、以德育德、以人格育人格，不断提高学生思想水平、政治觉悟、道德品质、文化素养，培养正确的人生观、世界观、价值观。针对学生在成长过程中遇到的实际问题，晓之以理、动之以情、导之以行、持之以恒，采用易于被学生接受和理解的方式进行教育、引导和援助，帮助学生提高认识，激发学生兴趣，有效提升应对挫折、适应岗位、融入社会的能力。注重运用新媒体、新技术，拓展网络育人阵地，利用网络唱响主旋律、传播正能量。</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班级管理工作。组建班委会、团支部，健全班级制度，梳理优良班风学风，鼓励学生参与制度、环境等班级文化建设，教育引导学生自觉养成良好的思想品质和行为习惯，维护教育教学秩序和生活秩序。客观、公正做好学生综合素质评价，及时对学生进行鼓励和指导。加强安全教育、法制教育、卫生健康教育和心理健康教育指导，维护班级和学生安全。</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组织班级活动。指导班委会、团支部开展工作，根据人才培养目标、德育工作要求和班级特点，开展覆盖全体学生、形式多样、时代性、趣味性、针对性和时效性强的主题班会、主题团日等班级活动。鼓励引导学生积极参与“文明风采”活动，在校期间至少加入一个学生社团、发展意向兴趣爱好、参加一次竞赛竞技、参与一项职院服务、展示一项才艺特长。</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职业指导工作。了解班级所属专业人才培养方案，熟悉培养目标、专业特点和学业要求，有针对性地帮助学生认识自我，了解社会，了解专业和职业，增强职业意识，树立正确的职业理想和职业观、就业观、创业观，培养良好的职业道德、职业素养和职业行为习惯，提升职业生涯规划能力。指导学生根据社会需要和自身特点选择职业发展方向，顺利实现就业、创业或升学。</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沟通协调工作。密切与学校相关部门、班级任课教师、家长、社区等的沟通，全面及时了解学生表现，协同任课教师，帮助引导家长和社区配合学校做好学生的教育、管理和服务工作。根据学校安排，组织学生参加社会实践、劳动实践、实习实训等活动，积极与实习单位沟通协调，共同做好学生顶岗实习期间的教育和管理工作。</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及时总结改进。建立健全班级管理和学生成长档案，关注育人全过程的信息采集，跟踪学生学习、生活、成长等方面的进展情况并细致分析，对照班级建设目标和达成进度,反思工作不足和制约因素，适时调整改进建班育人策略，保障达成育人目标。总结成功经验，逐步形成符合职业院校学生年龄特点、成长规律的科学管理理念和工作方法。</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妥善应对突发事件。熟悉并掌握各级教育行政部门、学校关于应对校园安全、公共卫生、网络舆情等突发事件的工作要求，做好应急预案。能够第一时间对突发事件进行初步处理，妥善做好应对，保护学生身心安全，维护学生合法权益，及时了解、掌握有关信息并按程序上报。事后做好总结研究分析，完善班级应急工作预案，向学校提出合理化建议。</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（二）参赛对象</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选手为中、高职学校班主任个人，2020—2021学年担任中、高职或五年制高职的班主任并实际带班，累计担任中职班主任3学年以上(不含3学年)。鼓励国家级、省级德育名师和名班主任、教学成果奖主持人以及具有高级专业技术职务的教师等报名参赛。</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(三)比赛办法</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采取现场展示形式，分为班级活动策划、模拟情景处置、班级建设方案实施情况介绍和答辩4个环节(有关安排和要求见附件2)。决赛评委根据参赛材料和参赛选手表现打分，确定比赛成绩。如因疫情影响届时不具备现场展示条件,将根据有关工作要求和安排统筹调整比赛方式。</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(四)参赛材料</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1.参赛材料包括目前所带班级使用的完整职业教育阶段的班级建设方案、1篇班级教育故事、1个主题班会实录视频及班会方案，另附本班实际使用的专业人才培养方案。</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赛材料应为原创，不得违反国家相关法律法规，不得侵犯他人知识产权，如引起知识产权异议或其他法律纠纷，其责任由参赛选手承担。除参赛选手事前特别声明外，比赛执委会拥有对参赛材料进行公益性共享的权利。</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(五)工作要求</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1.除《参赛报名表》《参赛汇总表》之外，所有参赛材料(含文件名及其属性)和决赛现场的介绍、展示、答辩，均不得泄露地区、学校名称。故意透露相关信息的，取消其参赛资格。</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赛选手所带班级所属的专业须依规在教育行政部门备案。各代表队应认真核对参赛选手实际任职和带班情况,省级比赛遴选情况，所带班级专业备案、人才培养方案网上公开的情况和班级学生实际情况等，并附相关佐证材料，不符合条件的不得参赛;同时，认真检查参赛材料是否泄露信息。参赛选手及参赛材料的真实性、准确性等方面出现的问题，由所在代表队负责核查、反馈。</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3.以虚假身份参赛的，一经核实，取消其参赛资格以及所在代表队团体奖评奖资格( 奖项评出后发现的，依规追回奖项),并通报全省职业院校技能大赛组织委员会,并依据有关规定严肃处理。</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4.各代表队要严格贯彻落实《中共教育部党组关于统筹做好教育系统新冠肺炎疫情防控和教育改革发展工作的通知》(教党[2020]16号)有关要求，统筹做好2021年比赛各项准备工作。</w:t>
      </w:r>
    </w:p>
    <w:p>
      <w:pPr>
        <w:ind w:firstLine="564"/>
        <w:rPr>
          <w:rFonts w:ascii="仿宋_GB2312" w:eastAsia="仿宋_GB2312"/>
          <w:sz w:val="28"/>
          <w:szCs w:val="28"/>
        </w:rPr>
      </w:pP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1.业务能力组参赛材料及有关要求</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2.业务能力组现场展示安排及要求</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3.业务能力组参赛报名表</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4.业务能力组参赛汇总表</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5.业务能力组评分指标</w:t>
      </w:r>
    </w:p>
    <w:p>
      <w:pPr>
        <w:ind w:firstLine="564"/>
        <w:rPr>
          <w:rFonts w:ascii="仿宋_GB2312" w:eastAsia="仿宋_GB2312"/>
          <w:sz w:val="28"/>
          <w:szCs w:val="28"/>
        </w:rPr>
      </w:pPr>
    </w:p>
    <w:p>
      <w:pPr>
        <w:rPr>
          <w:rFonts w:ascii="仿宋_GB2312" w:eastAsia="仿宋_GB2312"/>
          <w:sz w:val="28"/>
          <w:szCs w:val="28"/>
        </w:rPr>
        <w:sectPr>
          <w:pgSz w:w="11906" w:h="16838"/>
          <w:pgMar w:top="1440" w:right="1800" w:bottom="1440" w:left="1800" w:header="851" w:footer="992" w:gutter="0"/>
          <w:cols w:space="425" w:num="1"/>
          <w:docGrid w:type="lines" w:linePitch="312" w:charSpace="0"/>
        </w:sectPr>
      </w:pPr>
    </w:p>
    <w:p>
      <w:pPr>
        <w:rPr>
          <w:rFonts w:ascii="仿宋_GB2312" w:eastAsia="仿宋_GB2312"/>
          <w:sz w:val="28"/>
          <w:szCs w:val="28"/>
        </w:rPr>
      </w:pPr>
      <w:r>
        <w:rPr>
          <w:rFonts w:hint="eastAsia" w:ascii="仿宋_GB2312" w:eastAsia="仿宋_GB2312"/>
          <w:sz w:val="28"/>
          <w:szCs w:val="28"/>
        </w:rPr>
        <w:t>附件1：</w:t>
      </w:r>
    </w:p>
    <w:p>
      <w:pPr>
        <w:pStyle w:val="14"/>
        <w:keepNext/>
        <w:ind w:firstLine="643" w:firstLineChars="200"/>
        <w:jc w:val="center"/>
        <w:rPr>
          <w:rFonts w:hint="eastAsia"/>
          <w:b/>
          <w:bCs/>
          <w:sz w:val="32"/>
          <w:szCs w:val="32"/>
        </w:rPr>
      </w:pPr>
      <w:r>
        <w:rPr>
          <w:rFonts w:hint="eastAsia"/>
          <w:b/>
          <w:bCs/>
          <w:sz w:val="32"/>
          <w:szCs w:val="32"/>
        </w:rPr>
        <w:t>业务能力组参赛材料及有关要求</w:t>
      </w:r>
    </w:p>
    <w:p>
      <w:pPr>
        <w:pStyle w:val="14"/>
        <w:keepNext/>
        <w:ind w:firstLine="643" w:firstLineChars="200"/>
        <w:jc w:val="both"/>
        <w:rPr>
          <w:rFonts w:hint="eastAsia"/>
          <w:b/>
          <w:bCs/>
          <w:sz w:val="32"/>
          <w:szCs w:val="32"/>
        </w:rPr>
      </w:pPr>
      <w:r>
        <w:rPr>
          <w:rFonts w:hint="eastAsia"/>
          <w:b/>
          <w:bCs/>
          <w:sz w:val="32"/>
          <w:szCs w:val="32"/>
        </w:rPr>
        <w:t>一、班级建设方案</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选手根据中、高职等职业学校学生思想道德教育、人才培养等有关规定和要求，结合班级实际情况，撰写目前所带班级建班育人实践中使用的完整职业教育阶段(学生从入学至毕业全过程)班级建设方案，推进建班育人。班级建设方案应包括但不限于班级情况分析、班级建设目标、建设内容、主要措施、活动安排等要素。班级情况分析应在了解每一名学生入学时的家庭情况、身心健康状况、个性特点、学业基础、爱好特长、发展诉求等的基础上,结合所属专业,简要分析班级特点，提出建班育人实践中需要重点关注的工作领域、学生个体，可能面临的困难和需要重点解决的问题，并提供班级学生基本情况表(如下表所示)。班级建设内容包含但不限于理想信念教育、中华优秀传统文化传承与创新、劳动教育、心理健康教育、学习兴趣培养、学生思想工作、职业指导、家校共育、校企共育等方面内容，设计合理、重点突出、规范完整、详略得当，能够有效指导建班育人工作，应当侧重体现具体的班级建设内容和过程安排。字数不超过5000字(不含《班级学生基本情况表》)。</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班级学生基本情况表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34"/>
        <w:gridCol w:w="709"/>
        <w:gridCol w:w="851"/>
        <w:gridCol w:w="2268"/>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仿宋_GB2312" w:eastAsia="仿宋_GB2312"/>
                <w:b/>
                <w:szCs w:val="21"/>
              </w:rPr>
            </w:pPr>
            <w:r>
              <w:rPr>
                <w:rFonts w:hint="eastAsia" w:ascii="仿宋_GB2312" w:eastAsia="仿宋_GB2312"/>
                <w:b/>
                <w:szCs w:val="21"/>
              </w:rPr>
              <w:t>序号</w:t>
            </w:r>
          </w:p>
        </w:tc>
        <w:tc>
          <w:tcPr>
            <w:tcW w:w="1134" w:type="dxa"/>
            <w:vAlign w:val="center"/>
          </w:tcPr>
          <w:p>
            <w:pPr>
              <w:jc w:val="center"/>
              <w:rPr>
                <w:rFonts w:ascii="仿宋_GB2312" w:eastAsia="仿宋_GB2312"/>
                <w:b/>
                <w:szCs w:val="21"/>
              </w:rPr>
            </w:pPr>
            <w:r>
              <w:rPr>
                <w:rFonts w:hint="eastAsia" w:ascii="仿宋_GB2312" w:eastAsia="仿宋_GB2312"/>
                <w:b/>
                <w:szCs w:val="21"/>
              </w:rPr>
              <w:t>姓名</w:t>
            </w:r>
          </w:p>
        </w:tc>
        <w:tc>
          <w:tcPr>
            <w:tcW w:w="709" w:type="dxa"/>
            <w:vAlign w:val="center"/>
          </w:tcPr>
          <w:p>
            <w:pPr>
              <w:jc w:val="center"/>
              <w:rPr>
                <w:rFonts w:ascii="仿宋_GB2312" w:eastAsia="仿宋_GB2312"/>
                <w:b/>
                <w:szCs w:val="21"/>
              </w:rPr>
            </w:pPr>
            <w:r>
              <w:rPr>
                <w:rFonts w:hint="eastAsia" w:ascii="仿宋_GB2312" w:eastAsia="仿宋_GB2312"/>
                <w:b/>
                <w:szCs w:val="21"/>
              </w:rPr>
              <w:t>性别</w:t>
            </w:r>
          </w:p>
        </w:tc>
        <w:tc>
          <w:tcPr>
            <w:tcW w:w="851" w:type="dxa"/>
            <w:vAlign w:val="center"/>
          </w:tcPr>
          <w:p>
            <w:pPr>
              <w:jc w:val="center"/>
              <w:rPr>
                <w:rFonts w:ascii="仿宋_GB2312" w:eastAsia="仿宋_GB2312"/>
                <w:b/>
                <w:szCs w:val="21"/>
              </w:rPr>
            </w:pPr>
            <w:r>
              <w:rPr>
                <w:rFonts w:hint="eastAsia" w:ascii="仿宋_GB2312" w:eastAsia="仿宋_GB2312"/>
                <w:b/>
                <w:szCs w:val="21"/>
              </w:rPr>
              <w:t>年龄</w:t>
            </w:r>
          </w:p>
        </w:tc>
        <w:tc>
          <w:tcPr>
            <w:tcW w:w="2268" w:type="dxa"/>
            <w:vAlign w:val="center"/>
          </w:tcPr>
          <w:p>
            <w:pPr>
              <w:jc w:val="center"/>
              <w:rPr>
                <w:rFonts w:ascii="仿宋_GB2312" w:eastAsia="仿宋_GB2312"/>
                <w:b/>
                <w:szCs w:val="21"/>
              </w:rPr>
            </w:pPr>
            <w:r>
              <w:rPr>
                <w:rFonts w:hint="eastAsia" w:ascii="仿宋_GB2312" w:eastAsia="仿宋_GB2312"/>
                <w:b/>
                <w:szCs w:val="21"/>
              </w:rPr>
              <w:t>学（籍）号</w:t>
            </w:r>
          </w:p>
        </w:tc>
        <w:tc>
          <w:tcPr>
            <w:tcW w:w="2885" w:type="dxa"/>
            <w:vAlign w:val="center"/>
          </w:tcPr>
          <w:p>
            <w:pPr>
              <w:jc w:val="center"/>
              <w:rPr>
                <w:rFonts w:ascii="仿宋_GB2312" w:eastAsia="仿宋_GB2312"/>
                <w:b/>
                <w:szCs w:val="21"/>
              </w:rPr>
            </w:pPr>
            <w:r>
              <w:rPr>
                <w:rFonts w:hint="eastAsia" w:ascii="仿宋_GB2312" w:eastAsia="仿宋_GB2312"/>
                <w:b/>
                <w:szCs w:val="21"/>
              </w:rPr>
              <w:t>需要关注的主要方面</w:t>
            </w:r>
          </w:p>
          <w:p>
            <w:pPr>
              <w:jc w:val="center"/>
              <w:rPr>
                <w:rFonts w:ascii="仿宋_GB2312" w:eastAsia="仿宋_GB2312"/>
                <w:b/>
                <w:szCs w:val="21"/>
              </w:rPr>
            </w:pPr>
            <w:r>
              <w:rPr>
                <w:rFonts w:hint="eastAsia" w:ascii="仿宋_GB2312" w:eastAsia="仿宋_GB2312"/>
                <w:b/>
                <w:szCs w:val="21"/>
              </w:rPr>
              <w:t>（每人不超过50字）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仿宋_GB2312" w:eastAsia="仿宋_GB2312"/>
                <w:szCs w:val="21"/>
              </w:rPr>
            </w:pPr>
          </w:p>
        </w:tc>
        <w:tc>
          <w:tcPr>
            <w:tcW w:w="1134" w:type="dxa"/>
            <w:vAlign w:val="center"/>
          </w:tcPr>
          <w:p>
            <w:pPr>
              <w:jc w:val="center"/>
              <w:rPr>
                <w:rFonts w:ascii="仿宋_GB2312" w:eastAsia="仿宋_GB2312"/>
                <w:szCs w:val="21"/>
              </w:rPr>
            </w:pPr>
          </w:p>
        </w:tc>
        <w:tc>
          <w:tcPr>
            <w:tcW w:w="709" w:type="dxa"/>
            <w:vAlign w:val="center"/>
          </w:tcPr>
          <w:p>
            <w:pPr>
              <w:jc w:val="center"/>
              <w:rPr>
                <w:rFonts w:ascii="仿宋_GB2312" w:eastAsia="仿宋_GB2312"/>
                <w:szCs w:val="21"/>
              </w:rPr>
            </w:pPr>
          </w:p>
        </w:tc>
        <w:tc>
          <w:tcPr>
            <w:tcW w:w="851" w:type="dxa"/>
            <w:vAlign w:val="center"/>
          </w:tcPr>
          <w:p>
            <w:pPr>
              <w:jc w:val="center"/>
              <w:rPr>
                <w:rFonts w:ascii="仿宋_GB2312" w:eastAsia="仿宋_GB2312"/>
                <w:szCs w:val="21"/>
              </w:rPr>
            </w:pPr>
          </w:p>
        </w:tc>
        <w:tc>
          <w:tcPr>
            <w:tcW w:w="2268" w:type="dxa"/>
            <w:vAlign w:val="center"/>
          </w:tcPr>
          <w:p>
            <w:pPr>
              <w:jc w:val="center"/>
              <w:rPr>
                <w:rFonts w:ascii="仿宋_GB2312" w:eastAsia="仿宋_GB2312"/>
                <w:szCs w:val="21"/>
              </w:rPr>
            </w:pPr>
          </w:p>
        </w:tc>
        <w:tc>
          <w:tcPr>
            <w:tcW w:w="2885"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仿宋_GB2312" w:eastAsia="仿宋_GB2312"/>
                <w:szCs w:val="21"/>
              </w:rPr>
            </w:pPr>
          </w:p>
        </w:tc>
        <w:tc>
          <w:tcPr>
            <w:tcW w:w="1134" w:type="dxa"/>
            <w:vAlign w:val="center"/>
          </w:tcPr>
          <w:p>
            <w:pPr>
              <w:jc w:val="center"/>
              <w:rPr>
                <w:rFonts w:ascii="仿宋_GB2312" w:eastAsia="仿宋_GB2312"/>
                <w:szCs w:val="21"/>
              </w:rPr>
            </w:pPr>
          </w:p>
        </w:tc>
        <w:tc>
          <w:tcPr>
            <w:tcW w:w="709" w:type="dxa"/>
            <w:vAlign w:val="center"/>
          </w:tcPr>
          <w:p>
            <w:pPr>
              <w:jc w:val="center"/>
              <w:rPr>
                <w:rFonts w:ascii="仿宋_GB2312" w:eastAsia="仿宋_GB2312"/>
                <w:szCs w:val="21"/>
              </w:rPr>
            </w:pPr>
          </w:p>
        </w:tc>
        <w:tc>
          <w:tcPr>
            <w:tcW w:w="851" w:type="dxa"/>
            <w:vAlign w:val="center"/>
          </w:tcPr>
          <w:p>
            <w:pPr>
              <w:jc w:val="center"/>
              <w:rPr>
                <w:rFonts w:ascii="仿宋_GB2312" w:eastAsia="仿宋_GB2312"/>
                <w:szCs w:val="21"/>
              </w:rPr>
            </w:pPr>
          </w:p>
        </w:tc>
        <w:tc>
          <w:tcPr>
            <w:tcW w:w="2268" w:type="dxa"/>
            <w:vAlign w:val="center"/>
          </w:tcPr>
          <w:p>
            <w:pPr>
              <w:jc w:val="center"/>
              <w:rPr>
                <w:rFonts w:ascii="仿宋_GB2312" w:eastAsia="仿宋_GB2312"/>
                <w:szCs w:val="21"/>
              </w:rPr>
            </w:pPr>
          </w:p>
        </w:tc>
        <w:tc>
          <w:tcPr>
            <w:tcW w:w="2885"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仿宋_GB2312" w:eastAsia="仿宋_GB2312"/>
                <w:szCs w:val="21"/>
              </w:rPr>
            </w:pPr>
          </w:p>
        </w:tc>
        <w:tc>
          <w:tcPr>
            <w:tcW w:w="1134" w:type="dxa"/>
            <w:vAlign w:val="center"/>
          </w:tcPr>
          <w:p>
            <w:pPr>
              <w:jc w:val="center"/>
              <w:rPr>
                <w:rFonts w:ascii="仿宋_GB2312" w:eastAsia="仿宋_GB2312"/>
                <w:szCs w:val="21"/>
              </w:rPr>
            </w:pPr>
          </w:p>
        </w:tc>
        <w:tc>
          <w:tcPr>
            <w:tcW w:w="709" w:type="dxa"/>
            <w:vAlign w:val="center"/>
          </w:tcPr>
          <w:p>
            <w:pPr>
              <w:jc w:val="center"/>
              <w:rPr>
                <w:rFonts w:ascii="仿宋_GB2312" w:eastAsia="仿宋_GB2312"/>
                <w:szCs w:val="21"/>
              </w:rPr>
            </w:pPr>
          </w:p>
        </w:tc>
        <w:tc>
          <w:tcPr>
            <w:tcW w:w="851" w:type="dxa"/>
            <w:vAlign w:val="center"/>
          </w:tcPr>
          <w:p>
            <w:pPr>
              <w:jc w:val="center"/>
              <w:rPr>
                <w:rFonts w:ascii="仿宋_GB2312" w:eastAsia="仿宋_GB2312"/>
                <w:szCs w:val="21"/>
              </w:rPr>
            </w:pPr>
          </w:p>
        </w:tc>
        <w:tc>
          <w:tcPr>
            <w:tcW w:w="2268" w:type="dxa"/>
            <w:vAlign w:val="center"/>
          </w:tcPr>
          <w:p>
            <w:pPr>
              <w:jc w:val="center"/>
              <w:rPr>
                <w:rFonts w:ascii="仿宋_GB2312" w:eastAsia="仿宋_GB2312"/>
                <w:szCs w:val="21"/>
              </w:rPr>
            </w:pPr>
          </w:p>
        </w:tc>
        <w:tc>
          <w:tcPr>
            <w:tcW w:w="2885" w:type="dxa"/>
            <w:vAlign w:val="center"/>
          </w:tcPr>
          <w:p>
            <w:pPr>
              <w:jc w:val="center"/>
              <w:rPr>
                <w:rFonts w:ascii="仿宋_GB2312" w:eastAsia="仿宋_GB2312"/>
                <w:szCs w:val="21"/>
              </w:rPr>
            </w:pPr>
          </w:p>
        </w:tc>
      </w:tr>
    </w:tbl>
    <w:p>
      <w:pPr>
        <w:ind w:firstLine="560" w:firstLineChars="200"/>
        <w:rPr>
          <w:rFonts w:ascii="仿宋_GB2312" w:eastAsia="仿宋_GB2312"/>
          <w:sz w:val="28"/>
          <w:szCs w:val="28"/>
        </w:rPr>
      </w:pPr>
    </w:p>
    <w:p>
      <w:pPr>
        <w:pStyle w:val="14"/>
        <w:keepNext/>
        <w:ind w:firstLine="643" w:firstLineChars="200"/>
        <w:jc w:val="both"/>
        <w:rPr>
          <w:rFonts w:hint="eastAsia"/>
          <w:b/>
          <w:bCs/>
          <w:sz w:val="32"/>
          <w:szCs w:val="32"/>
        </w:rPr>
      </w:pPr>
      <w:r>
        <w:rPr>
          <w:rFonts w:hint="eastAsia"/>
          <w:b/>
          <w:bCs/>
          <w:sz w:val="32"/>
          <w:szCs w:val="32"/>
        </w:rPr>
        <w:t>二、班级教育故事</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选手结合建班育人实践,选取自己在班主任工作中亲身经历的所带班级真实、典型案例，撰写教育故事。教育故事应能反映参赛选手对班集体建设、学生教育培养的工作举措和成效，能体现出班主任的教育理念、职业素养和业务能力。教育故事要选取具有典型意义的教育案例，可结合纪念重大历史事件、国家公祭仪式、开学及毕业典礼、升旗仪式、入团仪式以及民族传统节日、重要节庆日、纪念日等主题的班级活动，反映时代要求、育人工作特点和规律,能反映出某一类教育活动或情景处置的基本共性和育人智慧。字数不超过1500字。</w:t>
      </w:r>
    </w:p>
    <w:p>
      <w:pPr>
        <w:pStyle w:val="14"/>
        <w:keepNext/>
        <w:ind w:firstLine="643" w:firstLineChars="200"/>
        <w:jc w:val="both"/>
        <w:rPr>
          <w:rFonts w:hint="eastAsia"/>
          <w:b/>
          <w:bCs/>
          <w:sz w:val="32"/>
          <w:szCs w:val="32"/>
        </w:rPr>
      </w:pPr>
      <w:r>
        <w:rPr>
          <w:rFonts w:hint="eastAsia"/>
          <w:b/>
          <w:bCs/>
          <w:sz w:val="32"/>
          <w:szCs w:val="32"/>
        </w:rPr>
        <w:t>三、主题班会实录视频及方案</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选手按照班级建设方案的时间进度安排,选择1次备赛期间应正常安排的主题班会,录制1段实录视频,时长不超过40分钟，清晰呈现主题班会实况，展示学生面貌，并提供主题班会设计方案，附参加学生名单(仅姓名),字数不超过1000字。主题班会实录视频的录制工作根据新冠肺炎疫情防控工作进展统筹推进,参赛材料提交截止时间前仍不具备举办主题班会条件的，可选取1次已经实际举办的主题班会，书面形式介绍有关情况并总结反思，字数不超过2000字。</w:t>
      </w:r>
    </w:p>
    <w:p>
      <w:pPr>
        <w:pStyle w:val="14"/>
        <w:keepNext/>
        <w:ind w:firstLine="643" w:firstLineChars="200"/>
        <w:jc w:val="both"/>
        <w:rPr>
          <w:rFonts w:hint="eastAsia"/>
          <w:b/>
          <w:bCs/>
          <w:sz w:val="32"/>
          <w:szCs w:val="32"/>
        </w:rPr>
      </w:pPr>
      <w:r>
        <w:rPr>
          <w:rFonts w:hint="eastAsia"/>
          <w:b/>
          <w:bCs/>
          <w:sz w:val="32"/>
          <w:szCs w:val="32"/>
        </w:rPr>
        <w:t>四、专业人才培养方案</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参赛选手提交经学校审核，所带班级实际使用的专业人才培养方案(不要求为参赛选手本人撰写),“方案”的制订和公开等应符合《教育部关于职业院校专业人才培养方案制订与实施工作的指导意见》(教职成[2019] 13号)和《关于组织做好职业院校专业人才培养方案制订与实施工作的通知》(教职成司函[2019]61号)有关要求。</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五、格式要求</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文档材料要求规范、简明、完整、朴实，以PDF格式提交，每个文件大小不超过100M。文档按“类型”命名，如“班级建设方案”等。</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_GB2312" w:eastAsia="仿宋_GB2312"/>
          <w:sz w:val="28"/>
          <w:szCs w:val="28"/>
        </w:rPr>
      </w:pPr>
      <w:r>
        <w:rPr>
          <w:rFonts w:hint="eastAsia" w:ascii="仿宋_GB2312" w:hAnsi="仿宋_GB2312" w:eastAsia="仿宋_GB2312" w:cs="仿宋_GB2312"/>
          <w:sz w:val="32"/>
          <w:szCs w:val="32"/>
        </w:rPr>
        <w:t>主题班会实录视频须采用单机方式全程连续录制(不得使用摇臂、无人机、虚拟演播系统、临时拼接大型LED显示屏等脱离建班育人实际、片面追求拍摄效果、费用昂贵的录制手段),不允许另行剪辑及配音，不加片头片尾、字幕注解，不得泄露地区、学校名称。采用MP4格式封装,每个文件大小不超过400M。视频录制软件不限，采用H.264/AVC (MPEG-4 Part10)编码格式压缩;动态码流的码率不低于1024Kbps，不超过1280Kbps;分辨率设定为720x576(标清4:3拍摄)或1280*720(高清16:9拍摄);采用逐行扫描(帧率25帧/秒)。音频采用AAC( MPEG4Part3)格式压缩;采样率48KHz;码流128Kbps (恒定)。</w:t>
      </w:r>
    </w:p>
    <w:p>
      <w:pPr>
        <w:ind w:firstLine="560" w:firstLineChars="200"/>
        <w:rPr>
          <w:rFonts w:ascii="仿宋_GB2312" w:eastAsia="仿宋_GB2312"/>
          <w:sz w:val="28"/>
          <w:szCs w:val="28"/>
        </w:rPr>
        <w:sectPr>
          <w:pgSz w:w="11906" w:h="16838"/>
          <w:pgMar w:top="1440" w:right="1800" w:bottom="1440" w:left="1800" w:header="851" w:footer="992" w:gutter="0"/>
          <w:cols w:space="425" w:num="1"/>
          <w:docGrid w:type="lines" w:linePitch="312" w:charSpace="0"/>
        </w:sectPr>
      </w:pPr>
    </w:p>
    <w:p>
      <w:pPr>
        <w:rPr>
          <w:rFonts w:ascii="仿宋_GB2312" w:eastAsia="仿宋_GB2312"/>
          <w:sz w:val="28"/>
          <w:szCs w:val="28"/>
        </w:rPr>
      </w:pPr>
      <w:r>
        <w:rPr>
          <w:rFonts w:hint="eastAsia" w:ascii="仿宋_GB2312" w:eastAsia="仿宋_GB2312"/>
          <w:sz w:val="28"/>
          <w:szCs w:val="28"/>
        </w:rPr>
        <w:t>附件2：</w:t>
      </w:r>
    </w:p>
    <w:p>
      <w:pPr>
        <w:pStyle w:val="14"/>
        <w:keepNext/>
        <w:ind w:firstLine="643" w:firstLineChars="200"/>
        <w:jc w:val="center"/>
        <w:rPr>
          <w:rFonts w:hint="eastAsia"/>
          <w:b/>
          <w:bCs/>
          <w:sz w:val="32"/>
          <w:szCs w:val="32"/>
        </w:rPr>
      </w:pPr>
      <w:r>
        <w:rPr>
          <w:rFonts w:hint="eastAsia"/>
          <w:b/>
          <w:bCs/>
          <w:sz w:val="32"/>
          <w:szCs w:val="32"/>
        </w:rPr>
        <w:t>业务能力组现场展示安排及要求</w:t>
      </w:r>
    </w:p>
    <w:p>
      <w:pPr>
        <w:pStyle w:val="14"/>
        <w:keepNext/>
        <w:ind w:firstLine="643" w:firstLineChars="200"/>
        <w:jc w:val="both"/>
        <w:rPr>
          <w:rFonts w:hint="eastAsia"/>
          <w:b/>
          <w:bCs/>
          <w:sz w:val="32"/>
          <w:szCs w:val="32"/>
        </w:rPr>
      </w:pPr>
      <w:r>
        <w:rPr>
          <w:rFonts w:hint="eastAsia"/>
          <w:b/>
          <w:bCs/>
          <w:sz w:val="32"/>
          <w:szCs w:val="32"/>
        </w:rPr>
        <w:t>一、现场展示环节</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班级活动策划。参赛选手根据职业学校学生思想道德教育、人才培养等有关规定和要求，结合抽定的主题分析相关方面教育元素、教育目标、教育内容，选取恰当的活动形式和教育方法，策划班级活动，制订活动方案，打印纸质版提供评委查阅并作简要介绍。</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2.模拟情景处置。参赛选手根据抽定的模拟情景，结合目前所带班级实际，进行模拟性的体验和思考，准备解决问题的策略和方法，并向评委作简要介绍。</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班级建设方案实施情况介绍。参赛选手介绍所带班级自组建以来，班级建设方案实施过程与成效、学生成长、反思改进等方面情况，突出庆祝建党100周年、新冠肺炎疫情防控等重大事件和重要时间节点建班育人的创新举措和成效，可用图片、视频、已建立并实际执行的班级制度文本等加以佐证。</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答辩。评委根据参赛选手事先提交的参赛材料、现场打印的班级活动方案和现场展示介绍的内容，集体讨论提出3个问题，并从主题班会实录视频参加学生名单中抽取1人。参赛选手针对屏幕呈现的问题(评委不再复述或解读),逐一回答并阐述个人观点(可以展示佐证资料)，介绍评委所抽定学生基本情况和入学以来成长、变化情况。   </w:t>
      </w:r>
    </w:p>
    <w:p>
      <w:pPr>
        <w:pStyle w:val="14"/>
        <w:keepNext/>
        <w:ind w:firstLine="643" w:firstLineChars="200"/>
        <w:jc w:val="both"/>
        <w:rPr>
          <w:rFonts w:hint="eastAsia"/>
          <w:b/>
          <w:bCs/>
          <w:sz w:val="32"/>
          <w:szCs w:val="32"/>
        </w:rPr>
      </w:pPr>
      <w:r>
        <w:rPr>
          <w:rFonts w:hint="eastAsia"/>
          <w:b/>
          <w:bCs/>
          <w:sz w:val="32"/>
          <w:szCs w:val="32"/>
        </w:rPr>
        <w:t>二、时间和场地安排</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1.参加现场展示的参赛选手赛前一天报到并熟悉赛场，抽签决定场次(比赛时间段)。</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2.现场展示当天，参赛选手按抽签顺序进入备赛室，抽签确定活动主题(赛前公布范围)和模拟的情景，时间不超过5分钟。</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赛选手在备赛室封闭准备，根据抽定的活动主题和模拟的情景，使用自带的电脑和资源，完成有关准备，时间不超过40分钟。备赛室提供打印服务，不提供互联网服务,参赛选手不可使用自带设备接入互联网或对外联系。</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4.参赛选手按时进入比赛室，简要介绍班级活动方案(6分钟左右)、模拟情景处置方案(6分钟左右)和班级建设方案实施情况(8分钟左右),合计不超过20分钟。</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5.评委讨论答辩环节使用的问题和抽取学生时间不超过10分钟，参赛选手回避。</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6.参赛选手答辩时间不超过8分钟(含读题审题),在时间允许的情况下，评委可以追问。</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如因疫情影响调整决赛方式，具体安排另行通知。</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pPr>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3：</w:t>
      </w:r>
    </w:p>
    <w:p>
      <w:pPr>
        <w:pStyle w:val="3"/>
        <w:keepNext w:val="0"/>
        <w:keepLines w:val="0"/>
        <w:pageBreakBefore w:val="0"/>
        <w:widowControl w:val="0"/>
        <w:kinsoku/>
        <w:wordWrap/>
        <w:overflowPunct/>
        <w:topLinePunct w:val="0"/>
        <w:autoSpaceDE/>
        <w:autoSpaceDN/>
        <w:bidi w:val="0"/>
        <w:adjustRightInd/>
        <w:snapToGrid/>
        <w:spacing w:line="540" w:lineRule="exact"/>
        <w:ind w:firstLine="643" w:firstLineChars="20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业务能力组参赛报名表</w:t>
      </w:r>
    </w:p>
    <w:p>
      <w:pPr>
        <w:pStyle w:val="3"/>
        <w:keepNext w:val="0"/>
        <w:keepLines w:val="0"/>
        <w:pageBreakBefore w:val="0"/>
        <w:widowControl w:val="0"/>
        <w:kinsoku/>
        <w:wordWrap/>
        <w:overflowPunct/>
        <w:topLinePunct w:val="0"/>
        <w:autoSpaceDE/>
        <w:autoSpaceDN/>
        <w:bidi w:val="0"/>
        <w:adjustRightInd/>
        <w:snapToGrid/>
        <w:spacing w:line="540" w:lineRule="exact"/>
        <w:ind w:firstLine="643" w:firstLineChars="20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参赛选手基本信息</w:t>
      </w:r>
    </w:p>
    <w:tbl>
      <w:tblPr>
        <w:tblStyle w:val="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1040"/>
        <w:gridCol w:w="1104"/>
        <w:gridCol w:w="1041"/>
        <w:gridCol w:w="1106"/>
        <w:gridCol w:w="1041"/>
        <w:gridCol w:w="1041"/>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Align w:val="center"/>
          </w:tcPr>
          <w:p>
            <w:pPr>
              <w:jc w:val="center"/>
              <w:rPr>
                <w:rFonts w:ascii="仿宋_GB2312" w:eastAsia="仿宋_GB2312"/>
                <w:szCs w:val="21"/>
              </w:rPr>
            </w:pPr>
            <w:r>
              <w:rPr>
                <w:rFonts w:ascii="仿宋_GB2312" w:eastAsia="仿宋_GB2312"/>
                <w:szCs w:val="21"/>
              </w:rPr>
              <w:t>学校全称</w:t>
            </w:r>
          </w:p>
        </w:tc>
        <w:tc>
          <w:tcPr>
            <w:tcW w:w="7792" w:type="dxa"/>
            <w:gridSpan w:val="7"/>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Align w:val="center"/>
          </w:tcPr>
          <w:p>
            <w:pPr>
              <w:jc w:val="center"/>
              <w:rPr>
                <w:rFonts w:ascii="仿宋_GB2312" w:eastAsia="仿宋_GB2312"/>
                <w:szCs w:val="21"/>
              </w:rPr>
            </w:pPr>
            <w:r>
              <w:rPr>
                <w:rFonts w:ascii="仿宋_GB2312" w:eastAsia="仿宋_GB2312"/>
                <w:szCs w:val="21"/>
              </w:rPr>
              <w:t>姓名</w:t>
            </w:r>
          </w:p>
        </w:tc>
        <w:tc>
          <w:tcPr>
            <w:tcW w:w="1040" w:type="dxa"/>
          </w:tcPr>
          <w:p>
            <w:pPr>
              <w:rPr>
                <w:rFonts w:ascii="仿宋_GB2312" w:eastAsia="仿宋_GB2312"/>
                <w:szCs w:val="21"/>
              </w:rPr>
            </w:pPr>
          </w:p>
        </w:tc>
        <w:tc>
          <w:tcPr>
            <w:tcW w:w="1104" w:type="dxa"/>
            <w:vAlign w:val="center"/>
          </w:tcPr>
          <w:p>
            <w:pPr>
              <w:jc w:val="center"/>
              <w:rPr>
                <w:rFonts w:ascii="仿宋_GB2312" w:eastAsia="仿宋_GB2312"/>
                <w:szCs w:val="21"/>
              </w:rPr>
            </w:pPr>
            <w:r>
              <w:rPr>
                <w:rFonts w:ascii="仿宋_GB2312" w:eastAsia="仿宋_GB2312"/>
                <w:szCs w:val="21"/>
              </w:rPr>
              <w:t>性别</w:t>
            </w:r>
          </w:p>
        </w:tc>
        <w:tc>
          <w:tcPr>
            <w:tcW w:w="1041" w:type="dxa"/>
            <w:vAlign w:val="center"/>
          </w:tcPr>
          <w:p>
            <w:pPr>
              <w:jc w:val="center"/>
              <w:rPr>
                <w:rFonts w:ascii="仿宋_GB2312" w:eastAsia="仿宋_GB2312"/>
                <w:szCs w:val="21"/>
              </w:rPr>
            </w:pPr>
          </w:p>
        </w:tc>
        <w:tc>
          <w:tcPr>
            <w:tcW w:w="1106" w:type="dxa"/>
            <w:vAlign w:val="center"/>
          </w:tcPr>
          <w:p>
            <w:pPr>
              <w:jc w:val="center"/>
              <w:rPr>
                <w:rFonts w:ascii="仿宋_GB2312" w:eastAsia="仿宋_GB2312"/>
                <w:szCs w:val="21"/>
              </w:rPr>
            </w:pPr>
            <w:r>
              <w:rPr>
                <w:rFonts w:ascii="仿宋_GB2312" w:eastAsia="仿宋_GB2312"/>
                <w:szCs w:val="21"/>
              </w:rPr>
              <w:t>民族</w:t>
            </w:r>
          </w:p>
        </w:tc>
        <w:tc>
          <w:tcPr>
            <w:tcW w:w="1041" w:type="dxa"/>
            <w:vAlign w:val="center"/>
          </w:tcPr>
          <w:p>
            <w:pPr>
              <w:jc w:val="center"/>
              <w:rPr>
                <w:rFonts w:ascii="仿宋_GB2312" w:eastAsia="仿宋_GB2312"/>
                <w:szCs w:val="21"/>
              </w:rPr>
            </w:pPr>
          </w:p>
        </w:tc>
        <w:tc>
          <w:tcPr>
            <w:tcW w:w="1041" w:type="dxa"/>
            <w:vAlign w:val="center"/>
          </w:tcPr>
          <w:p>
            <w:pPr>
              <w:jc w:val="center"/>
              <w:rPr>
                <w:rFonts w:ascii="仿宋_GB2312" w:eastAsia="仿宋_GB2312"/>
                <w:szCs w:val="21"/>
              </w:rPr>
            </w:pPr>
            <w:r>
              <w:rPr>
                <w:rFonts w:ascii="仿宋_GB2312" w:eastAsia="仿宋_GB2312"/>
                <w:szCs w:val="21"/>
              </w:rPr>
              <w:t>教龄</w:t>
            </w:r>
          </w:p>
        </w:tc>
        <w:tc>
          <w:tcPr>
            <w:tcW w:w="1419" w:type="dxa"/>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Align w:val="center"/>
          </w:tcPr>
          <w:p>
            <w:pPr>
              <w:jc w:val="center"/>
              <w:rPr>
                <w:rFonts w:ascii="仿宋_GB2312" w:eastAsia="仿宋_GB2312"/>
                <w:szCs w:val="21"/>
              </w:rPr>
            </w:pPr>
            <w:r>
              <w:rPr>
                <w:rFonts w:ascii="仿宋_GB2312" w:eastAsia="仿宋_GB2312"/>
                <w:szCs w:val="21"/>
              </w:rPr>
              <w:t>身份证号</w:t>
            </w:r>
          </w:p>
        </w:tc>
        <w:tc>
          <w:tcPr>
            <w:tcW w:w="1040" w:type="dxa"/>
          </w:tcPr>
          <w:p>
            <w:pPr>
              <w:rPr>
                <w:rFonts w:ascii="仿宋_GB2312" w:eastAsia="仿宋_GB2312"/>
                <w:szCs w:val="21"/>
              </w:rPr>
            </w:pPr>
          </w:p>
        </w:tc>
        <w:tc>
          <w:tcPr>
            <w:tcW w:w="1104" w:type="dxa"/>
            <w:vAlign w:val="center"/>
          </w:tcPr>
          <w:p>
            <w:pPr>
              <w:jc w:val="center"/>
              <w:rPr>
                <w:rFonts w:ascii="仿宋_GB2312" w:eastAsia="仿宋_GB2312"/>
                <w:szCs w:val="21"/>
              </w:rPr>
            </w:pPr>
          </w:p>
        </w:tc>
        <w:tc>
          <w:tcPr>
            <w:tcW w:w="1041" w:type="dxa"/>
            <w:vAlign w:val="center"/>
          </w:tcPr>
          <w:p>
            <w:pPr>
              <w:jc w:val="center"/>
              <w:rPr>
                <w:rFonts w:ascii="仿宋_GB2312" w:eastAsia="仿宋_GB2312"/>
                <w:szCs w:val="21"/>
              </w:rPr>
            </w:pPr>
          </w:p>
        </w:tc>
        <w:tc>
          <w:tcPr>
            <w:tcW w:w="1106" w:type="dxa"/>
            <w:vAlign w:val="center"/>
          </w:tcPr>
          <w:p>
            <w:pPr>
              <w:jc w:val="center"/>
              <w:rPr>
                <w:rFonts w:ascii="仿宋_GB2312" w:eastAsia="仿宋_GB2312"/>
                <w:szCs w:val="21"/>
              </w:rPr>
            </w:pPr>
            <w:r>
              <w:rPr>
                <w:rFonts w:ascii="仿宋_GB2312" w:eastAsia="仿宋_GB2312"/>
                <w:szCs w:val="21"/>
              </w:rPr>
              <w:t>联系电话</w:t>
            </w:r>
          </w:p>
        </w:tc>
        <w:tc>
          <w:tcPr>
            <w:tcW w:w="1041" w:type="dxa"/>
            <w:vAlign w:val="center"/>
          </w:tcPr>
          <w:p>
            <w:pPr>
              <w:jc w:val="center"/>
              <w:rPr>
                <w:rFonts w:ascii="仿宋_GB2312" w:eastAsia="仿宋_GB2312"/>
                <w:szCs w:val="21"/>
              </w:rPr>
            </w:pPr>
          </w:p>
        </w:tc>
        <w:tc>
          <w:tcPr>
            <w:tcW w:w="1041" w:type="dxa"/>
            <w:vAlign w:val="center"/>
          </w:tcPr>
          <w:p>
            <w:pPr>
              <w:jc w:val="center"/>
              <w:rPr>
                <w:rFonts w:ascii="仿宋_GB2312" w:eastAsia="仿宋_GB2312"/>
                <w:szCs w:val="21"/>
              </w:rPr>
            </w:pPr>
          </w:p>
        </w:tc>
        <w:tc>
          <w:tcPr>
            <w:tcW w:w="1419" w:type="dxa"/>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Align w:val="center"/>
          </w:tcPr>
          <w:p>
            <w:pPr>
              <w:jc w:val="center"/>
              <w:rPr>
                <w:rFonts w:ascii="仿宋_GB2312" w:eastAsia="仿宋_GB2312"/>
                <w:szCs w:val="21"/>
              </w:rPr>
            </w:pPr>
            <w:r>
              <w:rPr>
                <w:rFonts w:ascii="仿宋_GB2312" w:eastAsia="仿宋_GB2312"/>
                <w:szCs w:val="21"/>
              </w:rPr>
              <w:t>职务</w:t>
            </w:r>
          </w:p>
        </w:tc>
        <w:tc>
          <w:tcPr>
            <w:tcW w:w="7792" w:type="dxa"/>
            <w:gridSpan w:val="7"/>
          </w:tcPr>
          <w:p>
            <w:pPr>
              <w:rPr>
                <w:rFonts w:ascii="仿宋_GB2312" w:eastAsia="仿宋_GB2312"/>
                <w:szCs w:val="21"/>
              </w:rPr>
            </w:pPr>
            <w:r>
              <w:rPr>
                <w:rFonts w:hint="eastAsia" w:ascii="仿宋_GB2312" w:eastAsia="仿宋_GB2312"/>
                <w:szCs w:val="21"/>
              </w:rPr>
              <w:t xml:space="preserve">（ ）普通教师  （ ）教研室负责人  （ ）系部（二级学院）负责人 </w:t>
            </w:r>
          </w:p>
          <w:p>
            <w:pPr>
              <w:rPr>
                <w:rFonts w:ascii="仿宋_GB2312" w:eastAsia="仿宋_GB2312"/>
                <w:szCs w:val="21"/>
              </w:rPr>
            </w:pPr>
            <w:r>
              <w:rPr>
                <w:rFonts w:hint="eastAsia" w:ascii="仿宋_GB2312" w:eastAsia="仿宋_GB2312"/>
                <w:szCs w:val="21"/>
              </w:rPr>
              <w:t>（ ）职能部门负责人  （ ）校领导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Align w:val="center"/>
          </w:tcPr>
          <w:p>
            <w:pPr>
              <w:jc w:val="center"/>
              <w:rPr>
                <w:rFonts w:ascii="仿宋_GB2312" w:eastAsia="仿宋_GB2312"/>
                <w:szCs w:val="21"/>
              </w:rPr>
            </w:pPr>
            <w:r>
              <w:rPr>
                <w:rFonts w:ascii="仿宋_GB2312" w:eastAsia="仿宋_GB2312"/>
                <w:szCs w:val="21"/>
              </w:rPr>
              <w:t>职称</w:t>
            </w:r>
          </w:p>
        </w:tc>
        <w:tc>
          <w:tcPr>
            <w:tcW w:w="6373" w:type="dxa"/>
            <w:gridSpan w:val="6"/>
          </w:tcPr>
          <w:p>
            <w:pPr>
              <w:rPr>
                <w:rFonts w:ascii="仿宋_GB2312" w:eastAsia="仿宋_GB2312"/>
                <w:szCs w:val="21"/>
              </w:rPr>
            </w:pPr>
            <w:r>
              <w:rPr>
                <w:rFonts w:hint="eastAsia" w:ascii="仿宋_GB2312" w:eastAsia="仿宋_GB2312"/>
                <w:szCs w:val="21"/>
              </w:rPr>
              <w:t>（ ）未定级  （ ）初级  （ ）中级  （ ）副高  （ ）正高</w:t>
            </w:r>
          </w:p>
        </w:tc>
        <w:tc>
          <w:tcPr>
            <w:tcW w:w="1419"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t>1寸照片</w:t>
            </w:r>
          </w:p>
          <w:p>
            <w:pPr>
              <w:jc w:val="center"/>
              <w:rPr>
                <w:rFonts w:ascii="仿宋_GB2312" w:eastAsia="仿宋_GB2312"/>
                <w:sz w:val="15"/>
                <w:szCs w:val="15"/>
              </w:rPr>
            </w:pPr>
            <w:r>
              <w:rPr>
                <w:rFonts w:hint="eastAsia" w:ascii="仿宋_GB2312" w:eastAsia="仿宋_GB2312"/>
                <w:sz w:val="15"/>
                <w:szCs w:val="15"/>
              </w:rPr>
              <w:t>（可使用电子版）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Align w:val="center"/>
          </w:tcPr>
          <w:p>
            <w:pPr>
              <w:jc w:val="center"/>
              <w:rPr>
                <w:rFonts w:ascii="仿宋_GB2312" w:eastAsia="仿宋_GB2312"/>
                <w:szCs w:val="21"/>
              </w:rPr>
            </w:pPr>
            <w:r>
              <w:rPr>
                <w:rFonts w:ascii="仿宋_GB2312" w:eastAsia="仿宋_GB2312"/>
                <w:szCs w:val="21"/>
              </w:rPr>
              <w:t>学历</w:t>
            </w:r>
          </w:p>
        </w:tc>
        <w:tc>
          <w:tcPr>
            <w:tcW w:w="6373" w:type="dxa"/>
            <w:gridSpan w:val="6"/>
          </w:tcPr>
          <w:p>
            <w:pPr>
              <w:rPr>
                <w:rFonts w:ascii="仿宋_GB2312" w:eastAsia="仿宋_GB2312"/>
                <w:szCs w:val="21"/>
              </w:rPr>
            </w:pPr>
            <w:r>
              <w:rPr>
                <w:rFonts w:hint="eastAsia" w:ascii="仿宋_GB2312" w:eastAsia="仿宋_GB2312"/>
                <w:szCs w:val="21"/>
              </w:rPr>
              <w:t>（ ）大专及以下  （ ）本科  （ ）硕士  （ ）博士</w:t>
            </w:r>
          </w:p>
        </w:tc>
        <w:tc>
          <w:tcPr>
            <w:tcW w:w="1419" w:type="dxa"/>
            <w:vMerge w:val="continue"/>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Align w:val="center"/>
          </w:tcPr>
          <w:p>
            <w:pPr>
              <w:jc w:val="center"/>
              <w:rPr>
                <w:rFonts w:ascii="仿宋_GB2312" w:eastAsia="仿宋_GB2312"/>
                <w:szCs w:val="21"/>
              </w:rPr>
            </w:pPr>
            <w:r>
              <w:rPr>
                <w:rFonts w:ascii="仿宋_GB2312" w:eastAsia="仿宋_GB2312"/>
                <w:szCs w:val="21"/>
              </w:rPr>
              <w:t>是否为所带班级任课教师</w:t>
            </w:r>
          </w:p>
        </w:tc>
        <w:tc>
          <w:tcPr>
            <w:tcW w:w="6373" w:type="dxa"/>
            <w:gridSpan w:val="6"/>
            <w:vAlign w:val="center"/>
          </w:tcPr>
          <w:p>
            <w:pPr>
              <w:rPr>
                <w:rFonts w:ascii="仿宋_GB2312" w:eastAsia="仿宋_GB2312"/>
                <w:szCs w:val="21"/>
              </w:rPr>
            </w:pPr>
            <w:r>
              <w:rPr>
                <w:rFonts w:hint="eastAsia" w:ascii="仿宋_GB2312" w:eastAsia="仿宋_GB2312"/>
                <w:szCs w:val="21"/>
              </w:rPr>
              <w:t>（ ）非任课教师  （ ）公共基础课教师  （ ）专业课教师</w:t>
            </w:r>
          </w:p>
        </w:tc>
        <w:tc>
          <w:tcPr>
            <w:tcW w:w="1419" w:type="dxa"/>
            <w:vMerge w:val="continue"/>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Align w:val="center"/>
          </w:tcPr>
          <w:p>
            <w:pPr>
              <w:jc w:val="center"/>
              <w:rPr>
                <w:rFonts w:ascii="仿宋_GB2312" w:eastAsia="仿宋_GB2312"/>
                <w:szCs w:val="21"/>
              </w:rPr>
            </w:pPr>
            <w:r>
              <w:rPr>
                <w:rFonts w:ascii="仿宋_GB2312" w:eastAsia="仿宋_GB2312"/>
                <w:szCs w:val="21"/>
              </w:rPr>
              <w:t>班主任工作年限</w:t>
            </w:r>
          </w:p>
        </w:tc>
        <w:tc>
          <w:tcPr>
            <w:tcW w:w="6373" w:type="dxa"/>
            <w:gridSpan w:val="6"/>
          </w:tcPr>
          <w:p>
            <w:pPr>
              <w:rPr>
                <w:rFonts w:ascii="仿宋_GB2312" w:eastAsia="仿宋_GB2312"/>
                <w:szCs w:val="21"/>
              </w:rPr>
            </w:pPr>
          </w:p>
        </w:tc>
        <w:tc>
          <w:tcPr>
            <w:tcW w:w="1419" w:type="dxa"/>
            <w:vMerge w:val="continue"/>
          </w:tcPr>
          <w:p>
            <w:pPr>
              <w:rPr>
                <w:rFonts w:ascii="仿宋_GB2312" w:eastAsia="仿宋_GB2312"/>
                <w:szCs w:val="21"/>
              </w:rPr>
            </w:pPr>
          </w:p>
        </w:tc>
      </w:tr>
    </w:tbl>
    <w:p>
      <w:pPr>
        <w:pStyle w:val="3"/>
        <w:keepNext w:val="0"/>
        <w:keepLines w:val="0"/>
        <w:pageBreakBefore w:val="0"/>
        <w:widowControl w:val="0"/>
        <w:kinsoku/>
        <w:wordWrap/>
        <w:overflowPunct/>
        <w:topLinePunct w:val="0"/>
        <w:autoSpaceDE/>
        <w:autoSpaceDN/>
        <w:bidi w:val="0"/>
        <w:adjustRightInd/>
        <w:snapToGrid/>
        <w:spacing w:line="540" w:lineRule="exact"/>
        <w:ind w:firstLine="643" w:firstLineChars="20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所带班级信息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jc w:val="center"/>
              <w:rPr>
                <w:rFonts w:ascii="仿宋_GB2312" w:eastAsia="仿宋_GB2312"/>
                <w:szCs w:val="21"/>
              </w:rPr>
            </w:pPr>
            <w:r>
              <w:rPr>
                <w:rFonts w:ascii="仿宋_GB2312" w:eastAsia="仿宋_GB2312"/>
                <w:szCs w:val="21"/>
              </w:rPr>
              <w:t>班级学制</w:t>
            </w:r>
          </w:p>
        </w:tc>
        <w:tc>
          <w:tcPr>
            <w:tcW w:w="7102" w:type="dxa"/>
            <w:gridSpan w:val="5"/>
            <w:vAlign w:val="center"/>
          </w:tcPr>
          <w:p>
            <w:pPr>
              <w:rPr>
                <w:rFonts w:ascii="仿宋_GB2312" w:eastAsia="仿宋_GB2312"/>
                <w:szCs w:val="21"/>
              </w:rPr>
            </w:pPr>
            <w:r>
              <w:rPr>
                <w:rFonts w:hint="eastAsia" w:ascii="仿宋_GB2312" w:eastAsia="仿宋_GB2312"/>
                <w:szCs w:val="21"/>
              </w:rPr>
              <w:t>（ ）高职  （ ）中职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jc w:val="center"/>
              <w:rPr>
                <w:rFonts w:ascii="仿宋_GB2312" w:eastAsia="仿宋_GB2312"/>
                <w:szCs w:val="21"/>
              </w:rPr>
            </w:pPr>
            <w:r>
              <w:rPr>
                <w:rFonts w:hint="eastAsia" w:ascii="仿宋_GB2312" w:eastAsia="仿宋_GB2312"/>
                <w:szCs w:val="21"/>
              </w:rPr>
              <w:t>2019-2020学年班级所在年级</w:t>
            </w:r>
          </w:p>
        </w:tc>
        <w:tc>
          <w:tcPr>
            <w:tcW w:w="7102" w:type="dxa"/>
            <w:gridSpan w:val="5"/>
            <w:vAlign w:val="center"/>
          </w:tcPr>
          <w:p>
            <w:pPr>
              <w:rPr>
                <w:rFonts w:ascii="仿宋_GB2312" w:eastAsia="仿宋_GB2312"/>
                <w:szCs w:val="21"/>
              </w:rPr>
            </w:pPr>
            <w:r>
              <w:rPr>
                <w:rFonts w:hint="eastAsia" w:ascii="仿宋_GB2312" w:eastAsia="仿宋_GB2312"/>
                <w:szCs w:val="21"/>
              </w:rPr>
              <w:t>（ ）一年级  （ ）二年级  （ ）三年级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jc w:val="center"/>
              <w:rPr>
                <w:rFonts w:ascii="仿宋_GB2312" w:eastAsia="仿宋_GB2312"/>
                <w:szCs w:val="21"/>
              </w:rPr>
            </w:pPr>
            <w:r>
              <w:rPr>
                <w:rFonts w:ascii="仿宋_GB2312" w:eastAsia="仿宋_GB2312"/>
                <w:szCs w:val="21"/>
              </w:rPr>
              <w:t>班级所属</w:t>
            </w:r>
          </w:p>
          <w:p>
            <w:pPr>
              <w:jc w:val="center"/>
              <w:rPr>
                <w:rFonts w:ascii="仿宋_GB2312" w:eastAsia="仿宋_GB2312"/>
                <w:szCs w:val="21"/>
              </w:rPr>
            </w:pPr>
            <w:r>
              <w:rPr>
                <w:rFonts w:ascii="仿宋_GB2312" w:eastAsia="仿宋_GB2312"/>
                <w:szCs w:val="21"/>
              </w:rPr>
              <w:t>专业名称</w:t>
            </w:r>
          </w:p>
        </w:tc>
        <w:tc>
          <w:tcPr>
            <w:tcW w:w="2840" w:type="dxa"/>
            <w:gridSpan w:val="2"/>
          </w:tcPr>
          <w:p>
            <w:pPr>
              <w:jc w:val="center"/>
              <w:rPr>
                <w:rFonts w:ascii="仿宋_GB2312" w:eastAsia="仿宋_GB2312"/>
                <w:szCs w:val="21"/>
              </w:rPr>
            </w:pPr>
          </w:p>
        </w:tc>
        <w:tc>
          <w:tcPr>
            <w:tcW w:w="1420" w:type="dxa"/>
            <w:vAlign w:val="center"/>
          </w:tcPr>
          <w:p>
            <w:pPr>
              <w:jc w:val="center"/>
              <w:rPr>
                <w:rFonts w:ascii="仿宋_GB2312" w:eastAsia="仿宋_GB2312"/>
                <w:szCs w:val="21"/>
              </w:rPr>
            </w:pPr>
            <w:r>
              <w:rPr>
                <w:rFonts w:ascii="仿宋_GB2312" w:eastAsia="仿宋_GB2312"/>
                <w:szCs w:val="21"/>
              </w:rPr>
              <w:t>专业代码</w:t>
            </w:r>
          </w:p>
        </w:tc>
        <w:tc>
          <w:tcPr>
            <w:tcW w:w="2842" w:type="dxa"/>
            <w:gridSpan w:val="2"/>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jc w:val="center"/>
              <w:rPr>
                <w:rFonts w:ascii="仿宋_GB2312" w:eastAsia="仿宋_GB2312"/>
                <w:szCs w:val="21"/>
              </w:rPr>
            </w:pPr>
            <w:r>
              <w:rPr>
                <w:rFonts w:ascii="仿宋_GB2312" w:eastAsia="仿宋_GB2312"/>
                <w:szCs w:val="21"/>
              </w:rPr>
              <w:t>班级人数</w:t>
            </w:r>
          </w:p>
        </w:tc>
        <w:tc>
          <w:tcPr>
            <w:tcW w:w="1420" w:type="dxa"/>
          </w:tcPr>
          <w:p>
            <w:pPr>
              <w:rPr>
                <w:rFonts w:ascii="仿宋_GB2312" w:eastAsia="仿宋_GB2312"/>
                <w:szCs w:val="21"/>
              </w:rPr>
            </w:pPr>
          </w:p>
        </w:tc>
        <w:tc>
          <w:tcPr>
            <w:tcW w:w="1420" w:type="dxa"/>
            <w:vAlign w:val="center"/>
          </w:tcPr>
          <w:p>
            <w:pPr>
              <w:jc w:val="center"/>
              <w:rPr>
                <w:rFonts w:ascii="仿宋_GB2312" w:eastAsia="仿宋_GB2312"/>
                <w:szCs w:val="21"/>
              </w:rPr>
            </w:pPr>
            <w:r>
              <w:rPr>
                <w:rFonts w:ascii="仿宋_GB2312" w:eastAsia="仿宋_GB2312"/>
                <w:szCs w:val="21"/>
              </w:rPr>
              <w:t>男生人数</w:t>
            </w:r>
          </w:p>
        </w:tc>
        <w:tc>
          <w:tcPr>
            <w:tcW w:w="1420"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r>
              <w:rPr>
                <w:rFonts w:ascii="仿宋_GB2312" w:eastAsia="仿宋_GB2312"/>
                <w:szCs w:val="21"/>
              </w:rPr>
              <w:t>女生人数</w:t>
            </w:r>
          </w:p>
        </w:tc>
        <w:tc>
          <w:tcPr>
            <w:tcW w:w="1421" w:type="dxa"/>
            <w:vAlign w:val="center"/>
          </w:tcPr>
          <w:p>
            <w:pPr>
              <w:jc w:val="center"/>
              <w:rPr>
                <w:rFonts w:ascii="仿宋_GB2312" w:eastAsia="仿宋_GB2312"/>
                <w:szCs w:val="21"/>
              </w:rPr>
            </w:pPr>
          </w:p>
        </w:tc>
      </w:tr>
    </w:tbl>
    <w:p>
      <w:pPr>
        <w:pStyle w:val="3"/>
        <w:keepNext w:val="0"/>
        <w:keepLines w:val="0"/>
        <w:pageBreakBefore w:val="0"/>
        <w:widowControl w:val="0"/>
        <w:kinsoku/>
        <w:wordWrap/>
        <w:overflowPunct/>
        <w:topLinePunct w:val="0"/>
        <w:autoSpaceDE/>
        <w:autoSpaceDN/>
        <w:bidi w:val="0"/>
        <w:adjustRightInd/>
        <w:snapToGrid/>
        <w:spacing w:line="540" w:lineRule="exact"/>
        <w:ind w:firstLine="643" w:firstLineChars="20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参赛承诺说明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1348"/>
        <w:gridCol w:w="1493"/>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81" w:type="dxa"/>
            <w:gridSpan w:val="3"/>
          </w:tcPr>
          <w:p>
            <w:pPr>
              <w:rPr>
                <w:rFonts w:ascii="仿宋_GB2312" w:eastAsia="仿宋_GB2312"/>
                <w:szCs w:val="21"/>
              </w:rPr>
            </w:pPr>
            <w:r>
              <w:rPr>
                <w:rFonts w:ascii="仿宋_GB2312" w:eastAsia="仿宋_GB2312"/>
                <w:szCs w:val="21"/>
              </w:rPr>
              <w:t>本人在</w:t>
            </w:r>
            <w:r>
              <w:rPr>
                <w:rFonts w:hint="eastAsia" w:ascii="仿宋_GB2312" w:eastAsia="仿宋_GB2312"/>
                <w:szCs w:val="21"/>
              </w:rPr>
              <w:t>2020—2021学年实际担任班主任</w:t>
            </w:r>
          </w:p>
        </w:tc>
        <w:tc>
          <w:tcPr>
            <w:tcW w:w="2841" w:type="dxa"/>
          </w:tcPr>
          <w:p>
            <w:pPr>
              <w:rPr>
                <w:rFonts w:ascii="仿宋_GB2312" w:eastAsia="仿宋_GB2312"/>
                <w:szCs w:val="21"/>
              </w:rPr>
            </w:pPr>
            <w:r>
              <w:rPr>
                <w:rFonts w:hint="eastAsia" w:ascii="仿宋_GB2312" w:eastAsia="仿宋_GB2312"/>
                <w:szCs w:val="21"/>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1" w:type="dxa"/>
            <w:gridSpan w:val="3"/>
          </w:tcPr>
          <w:p>
            <w:pPr>
              <w:rPr>
                <w:rFonts w:ascii="仿宋_GB2312" w:eastAsia="仿宋_GB2312"/>
                <w:szCs w:val="21"/>
              </w:rPr>
            </w:pPr>
            <w:r>
              <w:rPr>
                <w:rFonts w:ascii="仿宋_GB2312" w:eastAsia="仿宋_GB2312"/>
                <w:szCs w:val="21"/>
              </w:rPr>
              <w:t>以上填报专业备案信息</w:t>
            </w:r>
            <w:r>
              <w:rPr>
                <w:rFonts w:hint="eastAsia" w:ascii="仿宋_GB2312" w:eastAsia="仿宋_GB2312"/>
                <w:szCs w:val="21"/>
              </w:rPr>
              <w:t>、</w:t>
            </w:r>
            <w:r>
              <w:rPr>
                <w:rFonts w:ascii="仿宋_GB2312" w:eastAsia="仿宋_GB2312"/>
                <w:szCs w:val="21"/>
              </w:rPr>
              <w:t>班级和个人信息均真实无误</w:t>
            </w:r>
          </w:p>
        </w:tc>
        <w:tc>
          <w:tcPr>
            <w:tcW w:w="2841" w:type="dxa"/>
          </w:tcPr>
          <w:p>
            <w:pPr>
              <w:rPr>
                <w:rFonts w:ascii="仿宋_GB2312" w:eastAsia="仿宋_GB2312"/>
                <w:szCs w:val="21"/>
              </w:rPr>
            </w:pPr>
            <w:r>
              <w:rPr>
                <w:rFonts w:hint="eastAsia" w:ascii="仿宋_GB2312" w:eastAsia="仿宋_GB2312"/>
                <w:szCs w:val="21"/>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1" w:type="dxa"/>
            <w:gridSpan w:val="3"/>
          </w:tcPr>
          <w:p>
            <w:pPr>
              <w:rPr>
                <w:rFonts w:ascii="仿宋_GB2312" w:eastAsia="仿宋_GB2312"/>
                <w:szCs w:val="21"/>
              </w:rPr>
            </w:pPr>
            <w:r>
              <w:rPr>
                <w:rFonts w:ascii="仿宋_GB2312" w:eastAsia="仿宋_GB2312"/>
                <w:szCs w:val="21"/>
              </w:rPr>
              <w:t>参赛材料没有泄露地区</w:t>
            </w:r>
            <w:r>
              <w:rPr>
                <w:rFonts w:hint="eastAsia" w:ascii="仿宋_GB2312" w:eastAsia="仿宋_GB2312"/>
                <w:szCs w:val="21"/>
              </w:rPr>
              <w:t>、</w:t>
            </w:r>
            <w:r>
              <w:rPr>
                <w:rFonts w:ascii="仿宋_GB2312" w:eastAsia="仿宋_GB2312"/>
                <w:szCs w:val="21"/>
              </w:rPr>
              <w:t>学校名称</w:t>
            </w:r>
          </w:p>
        </w:tc>
        <w:tc>
          <w:tcPr>
            <w:tcW w:w="2841" w:type="dxa"/>
          </w:tcPr>
          <w:p>
            <w:pPr>
              <w:rPr>
                <w:rFonts w:ascii="仿宋_GB2312" w:eastAsia="仿宋_GB2312"/>
                <w:szCs w:val="21"/>
              </w:rPr>
            </w:pPr>
            <w:r>
              <w:rPr>
                <w:rFonts w:hint="eastAsia" w:ascii="仿宋_GB2312" w:eastAsia="仿宋_GB2312"/>
                <w:szCs w:val="21"/>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1" w:type="dxa"/>
            <w:gridSpan w:val="3"/>
          </w:tcPr>
          <w:p>
            <w:pPr>
              <w:rPr>
                <w:rFonts w:ascii="仿宋_GB2312" w:eastAsia="仿宋_GB2312"/>
                <w:szCs w:val="21"/>
              </w:rPr>
            </w:pPr>
            <w:r>
              <w:rPr>
                <w:rFonts w:ascii="仿宋_GB2312" w:eastAsia="仿宋_GB2312"/>
                <w:szCs w:val="21"/>
              </w:rPr>
              <w:t>保证参赛材料无知识产权异议或其他法律纠纷</w:t>
            </w:r>
          </w:p>
        </w:tc>
        <w:tc>
          <w:tcPr>
            <w:tcW w:w="2841" w:type="dxa"/>
          </w:tcPr>
          <w:p>
            <w:pPr>
              <w:rPr>
                <w:rFonts w:ascii="仿宋_GB2312" w:eastAsia="仿宋_GB2312"/>
                <w:szCs w:val="21"/>
              </w:rPr>
            </w:pPr>
            <w:r>
              <w:rPr>
                <w:rFonts w:hint="eastAsia" w:ascii="仿宋_GB2312" w:eastAsia="仿宋_GB2312"/>
                <w:szCs w:val="21"/>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1" w:type="dxa"/>
            <w:gridSpan w:val="3"/>
          </w:tcPr>
          <w:p>
            <w:pPr>
              <w:rPr>
                <w:rFonts w:ascii="仿宋_GB2312" w:eastAsia="仿宋_GB2312"/>
                <w:szCs w:val="21"/>
              </w:rPr>
            </w:pPr>
            <w:r>
              <w:rPr>
                <w:rFonts w:ascii="仿宋_GB2312" w:eastAsia="仿宋_GB2312"/>
                <w:szCs w:val="21"/>
              </w:rPr>
              <w:t>同意比赛组委会拥有对参赛材料进行公益性共享权利</w:t>
            </w:r>
          </w:p>
        </w:tc>
        <w:tc>
          <w:tcPr>
            <w:tcW w:w="2841" w:type="dxa"/>
          </w:tcPr>
          <w:p>
            <w:pPr>
              <w:rPr>
                <w:rFonts w:ascii="仿宋_GB2312" w:eastAsia="仿宋_GB2312"/>
                <w:szCs w:val="21"/>
              </w:rPr>
            </w:pPr>
            <w:r>
              <w:rPr>
                <w:rFonts w:hint="eastAsia" w:ascii="仿宋_GB2312" w:eastAsia="仿宋_GB2312"/>
                <w:szCs w:val="21"/>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ascii="仿宋_GB2312" w:eastAsia="仿宋_GB2312"/>
                <w:szCs w:val="21"/>
              </w:rPr>
            </w:pPr>
            <w:r>
              <w:rPr>
                <w:rFonts w:ascii="仿宋_GB2312" w:eastAsia="仿宋_GB2312"/>
                <w:szCs w:val="21"/>
              </w:rPr>
              <w:t>专业人才培养方案网址</w:t>
            </w:r>
          </w:p>
        </w:tc>
        <w:tc>
          <w:tcPr>
            <w:tcW w:w="5682" w:type="dxa"/>
            <w:gridSpan w:val="3"/>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ascii="仿宋_GB2312" w:eastAsia="仿宋_GB2312"/>
                <w:szCs w:val="21"/>
              </w:rPr>
            </w:pPr>
            <w:r>
              <w:rPr>
                <w:rFonts w:ascii="仿宋_GB2312" w:eastAsia="仿宋_GB2312"/>
                <w:szCs w:val="21"/>
              </w:rPr>
              <w:t>个人签字</w:t>
            </w:r>
          </w:p>
        </w:tc>
        <w:tc>
          <w:tcPr>
            <w:tcW w:w="5682" w:type="dxa"/>
            <w:gridSpan w:val="3"/>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trPr>
        <w:tc>
          <w:tcPr>
            <w:tcW w:w="4188" w:type="dxa"/>
            <w:gridSpan w:val="2"/>
          </w:tcPr>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ind w:firstLine="1050" w:firstLineChars="500"/>
              <w:rPr>
                <w:rFonts w:ascii="仿宋_GB2312" w:eastAsia="仿宋_GB2312"/>
                <w:szCs w:val="21"/>
              </w:rPr>
            </w:pPr>
            <w:r>
              <w:rPr>
                <w:rFonts w:hint="eastAsia" w:ascii="仿宋_GB2312" w:eastAsia="仿宋_GB2312"/>
                <w:szCs w:val="21"/>
              </w:rPr>
              <w:t>（所在学校签署意见并盖章）</w:t>
            </w:r>
          </w:p>
          <w:p>
            <w:pPr>
              <w:ind w:firstLine="1680" w:firstLineChars="800"/>
              <w:rPr>
                <w:rFonts w:ascii="仿宋_GB2312" w:eastAsia="仿宋_GB2312"/>
                <w:szCs w:val="21"/>
              </w:rPr>
            </w:pPr>
            <w:r>
              <w:rPr>
                <w:rFonts w:hint="eastAsia" w:ascii="仿宋_GB2312" w:eastAsia="仿宋_GB2312"/>
                <w:szCs w:val="21"/>
              </w:rPr>
              <w:t>日期：</w:t>
            </w:r>
          </w:p>
        </w:tc>
        <w:tc>
          <w:tcPr>
            <w:tcW w:w="4334" w:type="dxa"/>
            <w:gridSpan w:val="2"/>
          </w:tcPr>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r>
              <w:rPr>
                <w:rFonts w:hint="eastAsia" w:ascii="仿宋_GB2312" w:eastAsia="仿宋_GB2312"/>
                <w:szCs w:val="21"/>
              </w:rPr>
              <w:t>（所在地区行政部门处室签署意见并盖章）</w:t>
            </w:r>
          </w:p>
          <w:p>
            <w:pPr>
              <w:ind w:firstLine="1470" w:firstLineChars="700"/>
              <w:rPr>
                <w:rFonts w:ascii="仿宋_GB2312" w:eastAsia="仿宋_GB2312"/>
                <w:szCs w:val="21"/>
              </w:rPr>
            </w:pPr>
            <w:r>
              <w:rPr>
                <w:rFonts w:hint="eastAsia" w:ascii="仿宋_GB2312" w:eastAsia="仿宋_GB2312"/>
                <w:szCs w:val="21"/>
              </w:rPr>
              <w:t>日期：</w:t>
            </w:r>
          </w:p>
        </w:tc>
      </w:tr>
    </w:tbl>
    <w:p>
      <w:pPr>
        <w:rPr>
          <w:rFonts w:ascii="仿宋_GB2312" w:eastAsia="仿宋_GB2312"/>
          <w:sz w:val="28"/>
          <w:szCs w:val="28"/>
        </w:rPr>
        <w:sectPr>
          <w:pgSz w:w="11906" w:h="16838"/>
          <w:pgMar w:top="1440" w:right="1800" w:bottom="1440" w:left="1800" w:header="851" w:footer="992" w:gutter="0"/>
          <w:cols w:space="425" w:num="1"/>
          <w:docGrid w:type="lines" w:linePitch="312" w:charSpace="0"/>
        </w:sectPr>
      </w:pPr>
    </w:p>
    <w:p>
      <w:pPr>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4：</w:t>
      </w:r>
    </w:p>
    <w:p>
      <w:pPr>
        <w:pStyle w:val="3"/>
        <w:keepNext w:val="0"/>
        <w:keepLines w:val="0"/>
        <w:pageBreakBefore w:val="0"/>
        <w:widowControl w:val="0"/>
        <w:kinsoku/>
        <w:wordWrap/>
        <w:overflowPunct/>
        <w:topLinePunct w:val="0"/>
        <w:autoSpaceDE/>
        <w:autoSpaceDN/>
        <w:bidi w:val="0"/>
        <w:adjustRightInd/>
        <w:snapToGrid/>
        <w:spacing w:line="540" w:lineRule="exact"/>
        <w:ind w:firstLine="643" w:firstLineChars="20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业务能力组参赛汇总表</w:t>
      </w:r>
    </w:p>
    <w:p>
      <w:pPr>
        <w:rPr>
          <w:rFonts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市（州）、院校</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560"/>
        <w:gridCol w:w="992"/>
        <w:gridCol w:w="850"/>
        <w:gridCol w:w="1560"/>
        <w:gridCol w:w="2409"/>
        <w:gridCol w:w="1560"/>
        <w:gridCol w:w="1732"/>
        <w:gridCol w:w="141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仿宋_GB2312" w:eastAsia="仿宋_GB2312"/>
                <w:b/>
                <w:szCs w:val="21"/>
              </w:rPr>
            </w:pPr>
            <w:r>
              <w:rPr>
                <w:rFonts w:ascii="仿宋_GB2312" w:eastAsia="仿宋_GB2312"/>
                <w:b/>
                <w:szCs w:val="21"/>
              </w:rPr>
              <w:t>序号</w:t>
            </w:r>
          </w:p>
        </w:tc>
        <w:tc>
          <w:tcPr>
            <w:tcW w:w="1560" w:type="dxa"/>
            <w:vAlign w:val="center"/>
          </w:tcPr>
          <w:p>
            <w:pPr>
              <w:jc w:val="center"/>
              <w:rPr>
                <w:rFonts w:ascii="仿宋_GB2312" w:eastAsia="仿宋_GB2312"/>
                <w:b/>
                <w:szCs w:val="21"/>
              </w:rPr>
            </w:pPr>
            <w:r>
              <w:rPr>
                <w:rFonts w:ascii="仿宋_GB2312" w:eastAsia="仿宋_GB2312"/>
                <w:b/>
                <w:szCs w:val="21"/>
              </w:rPr>
              <w:t>班主任姓名</w:t>
            </w:r>
          </w:p>
        </w:tc>
        <w:tc>
          <w:tcPr>
            <w:tcW w:w="992" w:type="dxa"/>
            <w:vAlign w:val="center"/>
          </w:tcPr>
          <w:p>
            <w:pPr>
              <w:jc w:val="center"/>
              <w:rPr>
                <w:rFonts w:ascii="仿宋_GB2312" w:eastAsia="仿宋_GB2312"/>
                <w:b/>
                <w:szCs w:val="21"/>
              </w:rPr>
            </w:pPr>
            <w:r>
              <w:rPr>
                <w:rFonts w:ascii="仿宋_GB2312" w:eastAsia="仿宋_GB2312"/>
                <w:b/>
                <w:szCs w:val="21"/>
              </w:rPr>
              <w:t>性别</w:t>
            </w:r>
          </w:p>
        </w:tc>
        <w:tc>
          <w:tcPr>
            <w:tcW w:w="850" w:type="dxa"/>
            <w:vAlign w:val="center"/>
          </w:tcPr>
          <w:p>
            <w:pPr>
              <w:jc w:val="center"/>
              <w:rPr>
                <w:rFonts w:ascii="仿宋_GB2312" w:eastAsia="仿宋_GB2312"/>
                <w:b/>
                <w:szCs w:val="21"/>
              </w:rPr>
            </w:pPr>
            <w:r>
              <w:rPr>
                <w:rFonts w:ascii="仿宋_GB2312" w:eastAsia="仿宋_GB2312"/>
                <w:b/>
                <w:szCs w:val="21"/>
              </w:rPr>
              <w:t>年龄</w:t>
            </w:r>
          </w:p>
        </w:tc>
        <w:tc>
          <w:tcPr>
            <w:tcW w:w="1560" w:type="dxa"/>
            <w:vAlign w:val="center"/>
          </w:tcPr>
          <w:p>
            <w:pPr>
              <w:jc w:val="center"/>
              <w:rPr>
                <w:rFonts w:ascii="仿宋_GB2312" w:eastAsia="仿宋_GB2312"/>
                <w:b/>
                <w:szCs w:val="21"/>
              </w:rPr>
            </w:pPr>
            <w:r>
              <w:rPr>
                <w:rFonts w:ascii="仿宋_GB2312" w:eastAsia="仿宋_GB2312"/>
                <w:b/>
                <w:szCs w:val="21"/>
              </w:rPr>
              <w:t>联系电话</w:t>
            </w:r>
          </w:p>
        </w:tc>
        <w:tc>
          <w:tcPr>
            <w:tcW w:w="2409" w:type="dxa"/>
            <w:vAlign w:val="center"/>
          </w:tcPr>
          <w:p>
            <w:pPr>
              <w:jc w:val="center"/>
              <w:rPr>
                <w:rFonts w:ascii="仿宋_GB2312" w:eastAsia="仿宋_GB2312"/>
                <w:b/>
                <w:szCs w:val="21"/>
              </w:rPr>
            </w:pPr>
            <w:r>
              <w:rPr>
                <w:rFonts w:ascii="仿宋_GB2312" w:eastAsia="仿宋_GB2312"/>
                <w:b/>
                <w:szCs w:val="21"/>
              </w:rPr>
              <w:t>学校名称</w:t>
            </w:r>
          </w:p>
          <w:p>
            <w:pPr>
              <w:jc w:val="center"/>
              <w:rPr>
                <w:rFonts w:ascii="仿宋_GB2312" w:eastAsia="仿宋_GB2312"/>
                <w:b/>
                <w:szCs w:val="21"/>
              </w:rPr>
            </w:pPr>
            <w:r>
              <w:rPr>
                <w:rFonts w:hint="eastAsia" w:ascii="仿宋_GB2312" w:eastAsia="仿宋_GB2312"/>
                <w:b/>
                <w:szCs w:val="21"/>
              </w:rPr>
              <w:t>（规范全称）</w:t>
            </w:r>
          </w:p>
        </w:tc>
        <w:tc>
          <w:tcPr>
            <w:tcW w:w="1560" w:type="dxa"/>
            <w:vAlign w:val="center"/>
          </w:tcPr>
          <w:p>
            <w:pPr>
              <w:jc w:val="center"/>
              <w:rPr>
                <w:rFonts w:ascii="仿宋_GB2312" w:eastAsia="仿宋_GB2312"/>
                <w:b/>
                <w:szCs w:val="21"/>
              </w:rPr>
            </w:pPr>
            <w:r>
              <w:rPr>
                <w:rFonts w:hint="eastAsia" w:ascii="仿宋_GB2312" w:eastAsia="仿宋_GB2312"/>
                <w:b/>
                <w:szCs w:val="21"/>
              </w:rPr>
              <w:t>班级学制</w:t>
            </w:r>
          </w:p>
        </w:tc>
        <w:tc>
          <w:tcPr>
            <w:tcW w:w="1732" w:type="dxa"/>
            <w:vAlign w:val="center"/>
          </w:tcPr>
          <w:p>
            <w:pPr>
              <w:jc w:val="center"/>
              <w:rPr>
                <w:rFonts w:ascii="仿宋_GB2312" w:eastAsia="仿宋_GB2312"/>
                <w:b/>
                <w:szCs w:val="21"/>
              </w:rPr>
            </w:pPr>
            <w:r>
              <w:rPr>
                <w:rFonts w:hint="eastAsia" w:ascii="仿宋_GB2312" w:eastAsia="仿宋_GB2312"/>
                <w:b/>
                <w:szCs w:val="21"/>
              </w:rPr>
              <w:t>2020-2021学年班级所在年级</w:t>
            </w:r>
          </w:p>
        </w:tc>
        <w:tc>
          <w:tcPr>
            <w:tcW w:w="1418" w:type="dxa"/>
            <w:vAlign w:val="center"/>
          </w:tcPr>
          <w:p>
            <w:pPr>
              <w:jc w:val="center"/>
              <w:rPr>
                <w:rFonts w:ascii="仿宋_GB2312" w:eastAsia="仿宋_GB2312"/>
                <w:b/>
                <w:szCs w:val="21"/>
              </w:rPr>
            </w:pPr>
            <w:r>
              <w:rPr>
                <w:rFonts w:ascii="仿宋_GB2312" w:eastAsia="仿宋_GB2312"/>
                <w:b/>
                <w:szCs w:val="21"/>
              </w:rPr>
              <w:t>班级所属专业名称</w:t>
            </w:r>
          </w:p>
        </w:tc>
        <w:tc>
          <w:tcPr>
            <w:tcW w:w="1418" w:type="dxa"/>
            <w:vAlign w:val="center"/>
          </w:tcPr>
          <w:p>
            <w:pPr>
              <w:jc w:val="center"/>
              <w:rPr>
                <w:rFonts w:ascii="仿宋_GB2312" w:eastAsia="仿宋_GB2312"/>
                <w:b/>
                <w:szCs w:val="21"/>
              </w:rPr>
            </w:pPr>
            <w:r>
              <w:rPr>
                <w:rFonts w:ascii="仿宋_GB2312" w:eastAsia="仿宋_GB2312"/>
                <w:b/>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jc w:val="center"/>
              <w:rPr>
                <w:rFonts w:ascii="仿宋_GB2312" w:eastAsia="仿宋_GB2312"/>
                <w:szCs w:val="21"/>
              </w:rPr>
            </w:pPr>
          </w:p>
        </w:tc>
        <w:tc>
          <w:tcPr>
            <w:tcW w:w="1560" w:type="dxa"/>
            <w:vAlign w:val="center"/>
          </w:tcPr>
          <w:p>
            <w:pPr>
              <w:jc w:val="center"/>
              <w:rPr>
                <w:rFonts w:ascii="仿宋_GB2312" w:eastAsia="仿宋_GB2312"/>
                <w:szCs w:val="21"/>
              </w:rPr>
            </w:pPr>
          </w:p>
        </w:tc>
        <w:tc>
          <w:tcPr>
            <w:tcW w:w="992" w:type="dxa"/>
            <w:vAlign w:val="center"/>
          </w:tcPr>
          <w:p>
            <w:pPr>
              <w:jc w:val="center"/>
              <w:rPr>
                <w:rFonts w:ascii="仿宋_GB2312" w:eastAsia="仿宋_GB2312"/>
                <w:szCs w:val="21"/>
              </w:rPr>
            </w:pPr>
          </w:p>
        </w:tc>
        <w:tc>
          <w:tcPr>
            <w:tcW w:w="850" w:type="dxa"/>
            <w:vAlign w:val="center"/>
          </w:tcPr>
          <w:p>
            <w:pPr>
              <w:jc w:val="center"/>
              <w:rPr>
                <w:rFonts w:ascii="仿宋_GB2312" w:eastAsia="仿宋_GB2312"/>
                <w:szCs w:val="21"/>
              </w:rPr>
            </w:pPr>
          </w:p>
        </w:tc>
        <w:tc>
          <w:tcPr>
            <w:tcW w:w="1560" w:type="dxa"/>
            <w:vAlign w:val="center"/>
          </w:tcPr>
          <w:p>
            <w:pPr>
              <w:jc w:val="center"/>
              <w:rPr>
                <w:rFonts w:ascii="仿宋_GB2312" w:eastAsia="仿宋_GB2312"/>
                <w:szCs w:val="21"/>
              </w:rPr>
            </w:pPr>
          </w:p>
        </w:tc>
        <w:tc>
          <w:tcPr>
            <w:tcW w:w="2409" w:type="dxa"/>
            <w:vAlign w:val="center"/>
          </w:tcPr>
          <w:p>
            <w:pPr>
              <w:jc w:val="center"/>
              <w:rPr>
                <w:rFonts w:ascii="仿宋_GB2312" w:eastAsia="仿宋_GB2312"/>
                <w:szCs w:val="21"/>
              </w:rPr>
            </w:pPr>
          </w:p>
        </w:tc>
        <w:tc>
          <w:tcPr>
            <w:tcW w:w="1560" w:type="dxa"/>
            <w:vAlign w:val="center"/>
          </w:tcPr>
          <w:p>
            <w:pPr>
              <w:jc w:val="center"/>
              <w:rPr>
                <w:rFonts w:ascii="仿宋_GB2312" w:eastAsia="仿宋_GB2312"/>
                <w:szCs w:val="21"/>
              </w:rPr>
            </w:pPr>
          </w:p>
        </w:tc>
        <w:tc>
          <w:tcPr>
            <w:tcW w:w="1732" w:type="dxa"/>
            <w:vAlign w:val="center"/>
          </w:tcPr>
          <w:p>
            <w:pPr>
              <w:jc w:val="center"/>
              <w:rPr>
                <w:rFonts w:ascii="仿宋_GB2312" w:eastAsia="仿宋_GB2312"/>
                <w:szCs w:val="21"/>
              </w:rPr>
            </w:pPr>
          </w:p>
        </w:tc>
        <w:tc>
          <w:tcPr>
            <w:tcW w:w="1418" w:type="dxa"/>
            <w:vAlign w:val="center"/>
          </w:tcPr>
          <w:p>
            <w:pPr>
              <w:jc w:val="center"/>
              <w:rPr>
                <w:rFonts w:ascii="仿宋_GB2312" w:eastAsia="仿宋_GB2312"/>
                <w:szCs w:val="21"/>
              </w:rPr>
            </w:pPr>
          </w:p>
        </w:tc>
        <w:tc>
          <w:tcPr>
            <w:tcW w:w="1418"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jc w:val="center"/>
              <w:rPr>
                <w:rFonts w:ascii="仿宋_GB2312" w:eastAsia="仿宋_GB2312"/>
                <w:szCs w:val="21"/>
              </w:rPr>
            </w:pPr>
          </w:p>
        </w:tc>
        <w:tc>
          <w:tcPr>
            <w:tcW w:w="1560" w:type="dxa"/>
            <w:vAlign w:val="center"/>
          </w:tcPr>
          <w:p>
            <w:pPr>
              <w:jc w:val="center"/>
              <w:rPr>
                <w:rFonts w:ascii="仿宋_GB2312" w:eastAsia="仿宋_GB2312"/>
                <w:szCs w:val="21"/>
              </w:rPr>
            </w:pPr>
          </w:p>
        </w:tc>
        <w:tc>
          <w:tcPr>
            <w:tcW w:w="992" w:type="dxa"/>
            <w:vAlign w:val="center"/>
          </w:tcPr>
          <w:p>
            <w:pPr>
              <w:jc w:val="center"/>
              <w:rPr>
                <w:rFonts w:ascii="仿宋_GB2312" w:eastAsia="仿宋_GB2312"/>
                <w:szCs w:val="21"/>
              </w:rPr>
            </w:pPr>
          </w:p>
        </w:tc>
        <w:tc>
          <w:tcPr>
            <w:tcW w:w="850" w:type="dxa"/>
            <w:vAlign w:val="center"/>
          </w:tcPr>
          <w:p>
            <w:pPr>
              <w:jc w:val="center"/>
              <w:rPr>
                <w:rFonts w:ascii="仿宋_GB2312" w:eastAsia="仿宋_GB2312"/>
                <w:szCs w:val="21"/>
              </w:rPr>
            </w:pPr>
          </w:p>
        </w:tc>
        <w:tc>
          <w:tcPr>
            <w:tcW w:w="1560" w:type="dxa"/>
            <w:vAlign w:val="center"/>
          </w:tcPr>
          <w:p>
            <w:pPr>
              <w:jc w:val="center"/>
              <w:rPr>
                <w:rFonts w:ascii="仿宋_GB2312" w:eastAsia="仿宋_GB2312"/>
                <w:szCs w:val="21"/>
              </w:rPr>
            </w:pPr>
          </w:p>
        </w:tc>
        <w:tc>
          <w:tcPr>
            <w:tcW w:w="2409" w:type="dxa"/>
            <w:vAlign w:val="center"/>
          </w:tcPr>
          <w:p>
            <w:pPr>
              <w:jc w:val="center"/>
              <w:rPr>
                <w:rFonts w:ascii="仿宋_GB2312" w:eastAsia="仿宋_GB2312"/>
                <w:szCs w:val="21"/>
              </w:rPr>
            </w:pPr>
          </w:p>
        </w:tc>
        <w:tc>
          <w:tcPr>
            <w:tcW w:w="1560" w:type="dxa"/>
            <w:vAlign w:val="center"/>
          </w:tcPr>
          <w:p>
            <w:pPr>
              <w:jc w:val="center"/>
              <w:rPr>
                <w:rFonts w:ascii="仿宋_GB2312" w:eastAsia="仿宋_GB2312"/>
                <w:szCs w:val="21"/>
              </w:rPr>
            </w:pPr>
          </w:p>
        </w:tc>
        <w:tc>
          <w:tcPr>
            <w:tcW w:w="1732" w:type="dxa"/>
            <w:vAlign w:val="center"/>
          </w:tcPr>
          <w:p>
            <w:pPr>
              <w:jc w:val="center"/>
              <w:rPr>
                <w:rFonts w:ascii="仿宋_GB2312" w:eastAsia="仿宋_GB2312"/>
                <w:szCs w:val="21"/>
              </w:rPr>
            </w:pPr>
          </w:p>
        </w:tc>
        <w:tc>
          <w:tcPr>
            <w:tcW w:w="1418" w:type="dxa"/>
            <w:vAlign w:val="center"/>
          </w:tcPr>
          <w:p>
            <w:pPr>
              <w:jc w:val="center"/>
              <w:rPr>
                <w:rFonts w:ascii="仿宋_GB2312" w:eastAsia="仿宋_GB2312"/>
                <w:szCs w:val="21"/>
              </w:rPr>
            </w:pPr>
          </w:p>
        </w:tc>
        <w:tc>
          <w:tcPr>
            <w:tcW w:w="1418"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jc w:val="center"/>
              <w:rPr>
                <w:rFonts w:ascii="仿宋_GB2312" w:eastAsia="仿宋_GB2312"/>
                <w:szCs w:val="21"/>
              </w:rPr>
            </w:pPr>
          </w:p>
        </w:tc>
        <w:tc>
          <w:tcPr>
            <w:tcW w:w="1560" w:type="dxa"/>
            <w:vAlign w:val="center"/>
          </w:tcPr>
          <w:p>
            <w:pPr>
              <w:jc w:val="center"/>
              <w:rPr>
                <w:rFonts w:ascii="仿宋_GB2312" w:eastAsia="仿宋_GB2312"/>
                <w:szCs w:val="21"/>
              </w:rPr>
            </w:pPr>
          </w:p>
        </w:tc>
        <w:tc>
          <w:tcPr>
            <w:tcW w:w="992" w:type="dxa"/>
            <w:vAlign w:val="center"/>
          </w:tcPr>
          <w:p>
            <w:pPr>
              <w:jc w:val="center"/>
              <w:rPr>
                <w:rFonts w:ascii="仿宋_GB2312" w:eastAsia="仿宋_GB2312"/>
                <w:szCs w:val="21"/>
              </w:rPr>
            </w:pPr>
          </w:p>
        </w:tc>
        <w:tc>
          <w:tcPr>
            <w:tcW w:w="850" w:type="dxa"/>
            <w:vAlign w:val="center"/>
          </w:tcPr>
          <w:p>
            <w:pPr>
              <w:jc w:val="center"/>
              <w:rPr>
                <w:rFonts w:ascii="仿宋_GB2312" w:eastAsia="仿宋_GB2312"/>
                <w:szCs w:val="21"/>
              </w:rPr>
            </w:pPr>
          </w:p>
        </w:tc>
        <w:tc>
          <w:tcPr>
            <w:tcW w:w="1560" w:type="dxa"/>
            <w:vAlign w:val="center"/>
          </w:tcPr>
          <w:p>
            <w:pPr>
              <w:jc w:val="center"/>
              <w:rPr>
                <w:rFonts w:ascii="仿宋_GB2312" w:eastAsia="仿宋_GB2312"/>
                <w:szCs w:val="21"/>
              </w:rPr>
            </w:pPr>
          </w:p>
        </w:tc>
        <w:tc>
          <w:tcPr>
            <w:tcW w:w="2409" w:type="dxa"/>
            <w:vAlign w:val="center"/>
          </w:tcPr>
          <w:p>
            <w:pPr>
              <w:jc w:val="center"/>
              <w:rPr>
                <w:rFonts w:ascii="仿宋_GB2312" w:eastAsia="仿宋_GB2312"/>
                <w:szCs w:val="21"/>
              </w:rPr>
            </w:pPr>
          </w:p>
        </w:tc>
        <w:tc>
          <w:tcPr>
            <w:tcW w:w="1560" w:type="dxa"/>
            <w:vAlign w:val="center"/>
          </w:tcPr>
          <w:p>
            <w:pPr>
              <w:jc w:val="center"/>
              <w:rPr>
                <w:rFonts w:ascii="仿宋_GB2312" w:eastAsia="仿宋_GB2312"/>
                <w:szCs w:val="21"/>
              </w:rPr>
            </w:pPr>
          </w:p>
        </w:tc>
        <w:tc>
          <w:tcPr>
            <w:tcW w:w="1732" w:type="dxa"/>
            <w:vAlign w:val="center"/>
          </w:tcPr>
          <w:p>
            <w:pPr>
              <w:jc w:val="center"/>
              <w:rPr>
                <w:rFonts w:ascii="仿宋_GB2312" w:eastAsia="仿宋_GB2312"/>
                <w:szCs w:val="21"/>
              </w:rPr>
            </w:pPr>
          </w:p>
        </w:tc>
        <w:tc>
          <w:tcPr>
            <w:tcW w:w="1418" w:type="dxa"/>
            <w:vAlign w:val="center"/>
          </w:tcPr>
          <w:p>
            <w:pPr>
              <w:jc w:val="center"/>
              <w:rPr>
                <w:rFonts w:ascii="仿宋_GB2312" w:eastAsia="仿宋_GB2312"/>
                <w:szCs w:val="21"/>
              </w:rPr>
            </w:pPr>
          </w:p>
        </w:tc>
        <w:tc>
          <w:tcPr>
            <w:tcW w:w="1418"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jc w:val="center"/>
              <w:rPr>
                <w:rFonts w:ascii="仿宋_GB2312" w:eastAsia="仿宋_GB2312"/>
                <w:szCs w:val="21"/>
              </w:rPr>
            </w:pPr>
          </w:p>
        </w:tc>
        <w:tc>
          <w:tcPr>
            <w:tcW w:w="1560" w:type="dxa"/>
            <w:vAlign w:val="center"/>
          </w:tcPr>
          <w:p>
            <w:pPr>
              <w:jc w:val="center"/>
              <w:rPr>
                <w:rFonts w:ascii="仿宋_GB2312" w:eastAsia="仿宋_GB2312"/>
                <w:szCs w:val="21"/>
              </w:rPr>
            </w:pPr>
          </w:p>
        </w:tc>
        <w:tc>
          <w:tcPr>
            <w:tcW w:w="992" w:type="dxa"/>
            <w:vAlign w:val="center"/>
          </w:tcPr>
          <w:p>
            <w:pPr>
              <w:jc w:val="center"/>
              <w:rPr>
                <w:rFonts w:ascii="仿宋_GB2312" w:eastAsia="仿宋_GB2312"/>
                <w:szCs w:val="21"/>
              </w:rPr>
            </w:pPr>
          </w:p>
        </w:tc>
        <w:tc>
          <w:tcPr>
            <w:tcW w:w="850" w:type="dxa"/>
            <w:vAlign w:val="center"/>
          </w:tcPr>
          <w:p>
            <w:pPr>
              <w:jc w:val="center"/>
              <w:rPr>
                <w:rFonts w:ascii="仿宋_GB2312" w:eastAsia="仿宋_GB2312"/>
                <w:szCs w:val="21"/>
              </w:rPr>
            </w:pPr>
          </w:p>
        </w:tc>
        <w:tc>
          <w:tcPr>
            <w:tcW w:w="1560" w:type="dxa"/>
            <w:vAlign w:val="center"/>
          </w:tcPr>
          <w:p>
            <w:pPr>
              <w:jc w:val="center"/>
              <w:rPr>
                <w:rFonts w:ascii="仿宋_GB2312" w:eastAsia="仿宋_GB2312"/>
                <w:szCs w:val="21"/>
              </w:rPr>
            </w:pPr>
          </w:p>
        </w:tc>
        <w:tc>
          <w:tcPr>
            <w:tcW w:w="2409" w:type="dxa"/>
            <w:vAlign w:val="center"/>
          </w:tcPr>
          <w:p>
            <w:pPr>
              <w:jc w:val="center"/>
              <w:rPr>
                <w:rFonts w:ascii="仿宋_GB2312" w:eastAsia="仿宋_GB2312"/>
                <w:szCs w:val="21"/>
              </w:rPr>
            </w:pPr>
          </w:p>
        </w:tc>
        <w:tc>
          <w:tcPr>
            <w:tcW w:w="1560" w:type="dxa"/>
            <w:vAlign w:val="center"/>
          </w:tcPr>
          <w:p>
            <w:pPr>
              <w:jc w:val="center"/>
              <w:rPr>
                <w:rFonts w:ascii="仿宋_GB2312" w:eastAsia="仿宋_GB2312"/>
                <w:szCs w:val="21"/>
              </w:rPr>
            </w:pPr>
          </w:p>
        </w:tc>
        <w:tc>
          <w:tcPr>
            <w:tcW w:w="1732" w:type="dxa"/>
            <w:vAlign w:val="center"/>
          </w:tcPr>
          <w:p>
            <w:pPr>
              <w:jc w:val="center"/>
              <w:rPr>
                <w:rFonts w:ascii="仿宋_GB2312" w:eastAsia="仿宋_GB2312"/>
                <w:szCs w:val="21"/>
              </w:rPr>
            </w:pPr>
          </w:p>
        </w:tc>
        <w:tc>
          <w:tcPr>
            <w:tcW w:w="1418" w:type="dxa"/>
            <w:vAlign w:val="center"/>
          </w:tcPr>
          <w:p>
            <w:pPr>
              <w:jc w:val="center"/>
              <w:rPr>
                <w:rFonts w:ascii="仿宋_GB2312" w:eastAsia="仿宋_GB2312"/>
                <w:szCs w:val="21"/>
              </w:rPr>
            </w:pPr>
          </w:p>
        </w:tc>
        <w:tc>
          <w:tcPr>
            <w:tcW w:w="1418"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jc w:val="center"/>
              <w:rPr>
                <w:rFonts w:ascii="仿宋_GB2312" w:eastAsia="仿宋_GB2312"/>
                <w:szCs w:val="21"/>
              </w:rPr>
            </w:pPr>
          </w:p>
        </w:tc>
        <w:tc>
          <w:tcPr>
            <w:tcW w:w="1560" w:type="dxa"/>
            <w:vAlign w:val="center"/>
          </w:tcPr>
          <w:p>
            <w:pPr>
              <w:jc w:val="center"/>
              <w:rPr>
                <w:rFonts w:ascii="仿宋_GB2312" w:eastAsia="仿宋_GB2312"/>
                <w:szCs w:val="21"/>
              </w:rPr>
            </w:pPr>
          </w:p>
        </w:tc>
        <w:tc>
          <w:tcPr>
            <w:tcW w:w="992" w:type="dxa"/>
            <w:vAlign w:val="center"/>
          </w:tcPr>
          <w:p>
            <w:pPr>
              <w:jc w:val="center"/>
              <w:rPr>
                <w:rFonts w:ascii="仿宋_GB2312" w:eastAsia="仿宋_GB2312"/>
                <w:szCs w:val="21"/>
              </w:rPr>
            </w:pPr>
          </w:p>
        </w:tc>
        <w:tc>
          <w:tcPr>
            <w:tcW w:w="850" w:type="dxa"/>
            <w:vAlign w:val="center"/>
          </w:tcPr>
          <w:p>
            <w:pPr>
              <w:jc w:val="center"/>
              <w:rPr>
                <w:rFonts w:ascii="仿宋_GB2312" w:eastAsia="仿宋_GB2312"/>
                <w:szCs w:val="21"/>
              </w:rPr>
            </w:pPr>
          </w:p>
        </w:tc>
        <w:tc>
          <w:tcPr>
            <w:tcW w:w="1560" w:type="dxa"/>
            <w:vAlign w:val="center"/>
          </w:tcPr>
          <w:p>
            <w:pPr>
              <w:jc w:val="center"/>
              <w:rPr>
                <w:rFonts w:ascii="仿宋_GB2312" w:eastAsia="仿宋_GB2312"/>
                <w:szCs w:val="21"/>
              </w:rPr>
            </w:pPr>
          </w:p>
        </w:tc>
        <w:tc>
          <w:tcPr>
            <w:tcW w:w="2409" w:type="dxa"/>
            <w:vAlign w:val="center"/>
          </w:tcPr>
          <w:p>
            <w:pPr>
              <w:jc w:val="center"/>
              <w:rPr>
                <w:rFonts w:ascii="仿宋_GB2312" w:eastAsia="仿宋_GB2312"/>
                <w:szCs w:val="21"/>
              </w:rPr>
            </w:pPr>
          </w:p>
        </w:tc>
        <w:tc>
          <w:tcPr>
            <w:tcW w:w="1560" w:type="dxa"/>
            <w:vAlign w:val="center"/>
          </w:tcPr>
          <w:p>
            <w:pPr>
              <w:jc w:val="center"/>
              <w:rPr>
                <w:rFonts w:ascii="仿宋_GB2312" w:eastAsia="仿宋_GB2312"/>
                <w:szCs w:val="21"/>
              </w:rPr>
            </w:pPr>
          </w:p>
        </w:tc>
        <w:tc>
          <w:tcPr>
            <w:tcW w:w="1732" w:type="dxa"/>
            <w:vAlign w:val="center"/>
          </w:tcPr>
          <w:p>
            <w:pPr>
              <w:jc w:val="center"/>
              <w:rPr>
                <w:rFonts w:ascii="仿宋_GB2312" w:eastAsia="仿宋_GB2312"/>
                <w:szCs w:val="21"/>
              </w:rPr>
            </w:pPr>
          </w:p>
        </w:tc>
        <w:tc>
          <w:tcPr>
            <w:tcW w:w="1418" w:type="dxa"/>
            <w:vAlign w:val="center"/>
          </w:tcPr>
          <w:p>
            <w:pPr>
              <w:jc w:val="center"/>
              <w:rPr>
                <w:rFonts w:ascii="仿宋_GB2312" w:eastAsia="仿宋_GB2312"/>
                <w:szCs w:val="21"/>
              </w:rPr>
            </w:pPr>
          </w:p>
        </w:tc>
        <w:tc>
          <w:tcPr>
            <w:tcW w:w="1418"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jc w:val="center"/>
              <w:rPr>
                <w:rFonts w:ascii="仿宋_GB2312" w:eastAsia="仿宋_GB2312"/>
                <w:szCs w:val="21"/>
              </w:rPr>
            </w:pPr>
          </w:p>
        </w:tc>
        <w:tc>
          <w:tcPr>
            <w:tcW w:w="1560" w:type="dxa"/>
            <w:vAlign w:val="center"/>
          </w:tcPr>
          <w:p>
            <w:pPr>
              <w:jc w:val="center"/>
              <w:rPr>
                <w:rFonts w:ascii="仿宋_GB2312" w:eastAsia="仿宋_GB2312"/>
                <w:szCs w:val="21"/>
              </w:rPr>
            </w:pPr>
          </w:p>
        </w:tc>
        <w:tc>
          <w:tcPr>
            <w:tcW w:w="992" w:type="dxa"/>
            <w:vAlign w:val="center"/>
          </w:tcPr>
          <w:p>
            <w:pPr>
              <w:jc w:val="center"/>
              <w:rPr>
                <w:rFonts w:ascii="仿宋_GB2312" w:eastAsia="仿宋_GB2312"/>
                <w:szCs w:val="21"/>
              </w:rPr>
            </w:pPr>
          </w:p>
        </w:tc>
        <w:tc>
          <w:tcPr>
            <w:tcW w:w="850" w:type="dxa"/>
            <w:vAlign w:val="center"/>
          </w:tcPr>
          <w:p>
            <w:pPr>
              <w:jc w:val="center"/>
              <w:rPr>
                <w:rFonts w:ascii="仿宋_GB2312" w:eastAsia="仿宋_GB2312"/>
                <w:szCs w:val="21"/>
              </w:rPr>
            </w:pPr>
          </w:p>
        </w:tc>
        <w:tc>
          <w:tcPr>
            <w:tcW w:w="1560" w:type="dxa"/>
            <w:vAlign w:val="center"/>
          </w:tcPr>
          <w:p>
            <w:pPr>
              <w:jc w:val="center"/>
              <w:rPr>
                <w:rFonts w:ascii="仿宋_GB2312" w:eastAsia="仿宋_GB2312"/>
                <w:szCs w:val="21"/>
              </w:rPr>
            </w:pPr>
          </w:p>
        </w:tc>
        <w:tc>
          <w:tcPr>
            <w:tcW w:w="2409" w:type="dxa"/>
            <w:vAlign w:val="center"/>
          </w:tcPr>
          <w:p>
            <w:pPr>
              <w:jc w:val="center"/>
              <w:rPr>
                <w:rFonts w:ascii="仿宋_GB2312" w:eastAsia="仿宋_GB2312"/>
                <w:szCs w:val="21"/>
              </w:rPr>
            </w:pPr>
          </w:p>
        </w:tc>
        <w:tc>
          <w:tcPr>
            <w:tcW w:w="1560" w:type="dxa"/>
            <w:vAlign w:val="center"/>
          </w:tcPr>
          <w:p>
            <w:pPr>
              <w:jc w:val="center"/>
              <w:rPr>
                <w:rFonts w:ascii="仿宋_GB2312" w:eastAsia="仿宋_GB2312"/>
                <w:szCs w:val="21"/>
              </w:rPr>
            </w:pPr>
          </w:p>
        </w:tc>
        <w:tc>
          <w:tcPr>
            <w:tcW w:w="1732" w:type="dxa"/>
            <w:vAlign w:val="center"/>
          </w:tcPr>
          <w:p>
            <w:pPr>
              <w:jc w:val="center"/>
              <w:rPr>
                <w:rFonts w:ascii="仿宋_GB2312" w:eastAsia="仿宋_GB2312"/>
                <w:szCs w:val="21"/>
              </w:rPr>
            </w:pPr>
          </w:p>
        </w:tc>
        <w:tc>
          <w:tcPr>
            <w:tcW w:w="1418" w:type="dxa"/>
            <w:vAlign w:val="center"/>
          </w:tcPr>
          <w:p>
            <w:pPr>
              <w:jc w:val="center"/>
              <w:rPr>
                <w:rFonts w:ascii="仿宋_GB2312" w:eastAsia="仿宋_GB2312"/>
                <w:szCs w:val="21"/>
              </w:rPr>
            </w:pPr>
          </w:p>
        </w:tc>
        <w:tc>
          <w:tcPr>
            <w:tcW w:w="1418"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jc w:val="center"/>
              <w:rPr>
                <w:rFonts w:ascii="仿宋_GB2312" w:eastAsia="仿宋_GB2312"/>
                <w:szCs w:val="21"/>
              </w:rPr>
            </w:pPr>
          </w:p>
        </w:tc>
        <w:tc>
          <w:tcPr>
            <w:tcW w:w="1560" w:type="dxa"/>
            <w:vAlign w:val="center"/>
          </w:tcPr>
          <w:p>
            <w:pPr>
              <w:jc w:val="center"/>
              <w:rPr>
                <w:rFonts w:ascii="仿宋_GB2312" w:eastAsia="仿宋_GB2312"/>
                <w:szCs w:val="21"/>
              </w:rPr>
            </w:pPr>
          </w:p>
        </w:tc>
        <w:tc>
          <w:tcPr>
            <w:tcW w:w="992" w:type="dxa"/>
            <w:vAlign w:val="center"/>
          </w:tcPr>
          <w:p>
            <w:pPr>
              <w:jc w:val="center"/>
              <w:rPr>
                <w:rFonts w:ascii="仿宋_GB2312" w:eastAsia="仿宋_GB2312"/>
                <w:szCs w:val="21"/>
              </w:rPr>
            </w:pPr>
          </w:p>
        </w:tc>
        <w:tc>
          <w:tcPr>
            <w:tcW w:w="850" w:type="dxa"/>
            <w:vAlign w:val="center"/>
          </w:tcPr>
          <w:p>
            <w:pPr>
              <w:jc w:val="center"/>
              <w:rPr>
                <w:rFonts w:ascii="仿宋_GB2312" w:eastAsia="仿宋_GB2312"/>
                <w:szCs w:val="21"/>
              </w:rPr>
            </w:pPr>
          </w:p>
        </w:tc>
        <w:tc>
          <w:tcPr>
            <w:tcW w:w="1560" w:type="dxa"/>
            <w:vAlign w:val="center"/>
          </w:tcPr>
          <w:p>
            <w:pPr>
              <w:jc w:val="center"/>
              <w:rPr>
                <w:rFonts w:ascii="仿宋_GB2312" w:eastAsia="仿宋_GB2312"/>
                <w:szCs w:val="21"/>
              </w:rPr>
            </w:pPr>
          </w:p>
        </w:tc>
        <w:tc>
          <w:tcPr>
            <w:tcW w:w="2409" w:type="dxa"/>
            <w:vAlign w:val="center"/>
          </w:tcPr>
          <w:p>
            <w:pPr>
              <w:jc w:val="center"/>
              <w:rPr>
                <w:rFonts w:ascii="仿宋_GB2312" w:eastAsia="仿宋_GB2312"/>
                <w:szCs w:val="21"/>
              </w:rPr>
            </w:pPr>
          </w:p>
        </w:tc>
        <w:tc>
          <w:tcPr>
            <w:tcW w:w="1560" w:type="dxa"/>
            <w:vAlign w:val="center"/>
          </w:tcPr>
          <w:p>
            <w:pPr>
              <w:jc w:val="center"/>
              <w:rPr>
                <w:rFonts w:ascii="仿宋_GB2312" w:eastAsia="仿宋_GB2312"/>
                <w:szCs w:val="21"/>
              </w:rPr>
            </w:pPr>
          </w:p>
        </w:tc>
        <w:tc>
          <w:tcPr>
            <w:tcW w:w="1732" w:type="dxa"/>
            <w:vAlign w:val="center"/>
          </w:tcPr>
          <w:p>
            <w:pPr>
              <w:jc w:val="center"/>
              <w:rPr>
                <w:rFonts w:ascii="仿宋_GB2312" w:eastAsia="仿宋_GB2312"/>
                <w:szCs w:val="21"/>
              </w:rPr>
            </w:pPr>
          </w:p>
        </w:tc>
        <w:tc>
          <w:tcPr>
            <w:tcW w:w="1418" w:type="dxa"/>
            <w:vAlign w:val="center"/>
          </w:tcPr>
          <w:p>
            <w:pPr>
              <w:jc w:val="center"/>
              <w:rPr>
                <w:rFonts w:ascii="仿宋_GB2312" w:eastAsia="仿宋_GB2312"/>
                <w:szCs w:val="21"/>
              </w:rPr>
            </w:pPr>
          </w:p>
        </w:tc>
        <w:tc>
          <w:tcPr>
            <w:tcW w:w="1418"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jc w:val="center"/>
              <w:rPr>
                <w:rFonts w:ascii="仿宋_GB2312" w:eastAsia="仿宋_GB2312"/>
                <w:szCs w:val="21"/>
              </w:rPr>
            </w:pPr>
          </w:p>
        </w:tc>
        <w:tc>
          <w:tcPr>
            <w:tcW w:w="1560" w:type="dxa"/>
            <w:vAlign w:val="center"/>
          </w:tcPr>
          <w:p>
            <w:pPr>
              <w:jc w:val="center"/>
              <w:rPr>
                <w:rFonts w:ascii="仿宋_GB2312" w:eastAsia="仿宋_GB2312"/>
                <w:szCs w:val="21"/>
              </w:rPr>
            </w:pPr>
          </w:p>
        </w:tc>
        <w:tc>
          <w:tcPr>
            <w:tcW w:w="992" w:type="dxa"/>
            <w:vAlign w:val="center"/>
          </w:tcPr>
          <w:p>
            <w:pPr>
              <w:jc w:val="center"/>
              <w:rPr>
                <w:rFonts w:ascii="仿宋_GB2312" w:eastAsia="仿宋_GB2312"/>
                <w:szCs w:val="21"/>
              </w:rPr>
            </w:pPr>
          </w:p>
        </w:tc>
        <w:tc>
          <w:tcPr>
            <w:tcW w:w="850" w:type="dxa"/>
            <w:vAlign w:val="center"/>
          </w:tcPr>
          <w:p>
            <w:pPr>
              <w:jc w:val="center"/>
              <w:rPr>
                <w:rFonts w:ascii="仿宋_GB2312" w:eastAsia="仿宋_GB2312"/>
                <w:szCs w:val="21"/>
              </w:rPr>
            </w:pPr>
          </w:p>
        </w:tc>
        <w:tc>
          <w:tcPr>
            <w:tcW w:w="1560" w:type="dxa"/>
            <w:vAlign w:val="center"/>
          </w:tcPr>
          <w:p>
            <w:pPr>
              <w:jc w:val="center"/>
              <w:rPr>
                <w:rFonts w:ascii="仿宋_GB2312" w:eastAsia="仿宋_GB2312"/>
                <w:szCs w:val="21"/>
              </w:rPr>
            </w:pPr>
          </w:p>
        </w:tc>
        <w:tc>
          <w:tcPr>
            <w:tcW w:w="2409" w:type="dxa"/>
            <w:vAlign w:val="center"/>
          </w:tcPr>
          <w:p>
            <w:pPr>
              <w:jc w:val="center"/>
              <w:rPr>
                <w:rFonts w:ascii="仿宋_GB2312" w:eastAsia="仿宋_GB2312"/>
                <w:szCs w:val="21"/>
              </w:rPr>
            </w:pPr>
          </w:p>
        </w:tc>
        <w:tc>
          <w:tcPr>
            <w:tcW w:w="1560" w:type="dxa"/>
            <w:vAlign w:val="center"/>
          </w:tcPr>
          <w:p>
            <w:pPr>
              <w:jc w:val="center"/>
              <w:rPr>
                <w:rFonts w:ascii="仿宋_GB2312" w:eastAsia="仿宋_GB2312"/>
                <w:szCs w:val="21"/>
              </w:rPr>
            </w:pPr>
          </w:p>
        </w:tc>
        <w:tc>
          <w:tcPr>
            <w:tcW w:w="1732" w:type="dxa"/>
            <w:vAlign w:val="center"/>
          </w:tcPr>
          <w:p>
            <w:pPr>
              <w:jc w:val="center"/>
              <w:rPr>
                <w:rFonts w:ascii="仿宋_GB2312" w:eastAsia="仿宋_GB2312"/>
                <w:szCs w:val="21"/>
              </w:rPr>
            </w:pPr>
          </w:p>
        </w:tc>
        <w:tc>
          <w:tcPr>
            <w:tcW w:w="1418" w:type="dxa"/>
            <w:vAlign w:val="center"/>
          </w:tcPr>
          <w:p>
            <w:pPr>
              <w:jc w:val="center"/>
              <w:rPr>
                <w:rFonts w:ascii="仿宋_GB2312" w:eastAsia="仿宋_GB2312"/>
                <w:szCs w:val="21"/>
              </w:rPr>
            </w:pPr>
          </w:p>
        </w:tc>
        <w:tc>
          <w:tcPr>
            <w:tcW w:w="1418"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jc w:val="center"/>
              <w:rPr>
                <w:rFonts w:ascii="仿宋_GB2312" w:eastAsia="仿宋_GB2312"/>
                <w:szCs w:val="21"/>
              </w:rPr>
            </w:pPr>
          </w:p>
        </w:tc>
        <w:tc>
          <w:tcPr>
            <w:tcW w:w="1560" w:type="dxa"/>
            <w:vAlign w:val="center"/>
          </w:tcPr>
          <w:p>
            <w:pPr>
              <w:jc w:val="center"/>
              <w:rPr>
                <w:rFonts w:ascii="仿宋_GB2312" w:eastAsia="仿宋_GB2312"/>
                <w:szCs w:val="21"/>
              </w:rPr>
            </w:pPr>
          </w:p>
        </w:tc>
        <w:tc>
          <w:tcPr>
            <w:tcW w:w="992" w:type="dxa"/>
            <w:vAlign w:val="center"/>
          </w:tcPr>
          <w:p>
            <w:pPr>
              <w:jc w:val="center"/>
              <w:rPr>
                <w:rFonts w:ascii="仿宋_GB2312" w:eastAsia="仿宋_GB2312"/>
                <w:szCs w:val="21"/>
              </w:rPr>
            </w:pPr>
          </w:p>
        </w:tc>
        <w:tc>
          <w:tcPr>
            <w:tcW w:w="850" w:type="dxa"/>
            <w:vAlign w:val="center"/>
          </w:tcPr>
          <w:p>
            <w:pPr>
              <w:jc w:val="center"/>
              <w:rPr>
                <w:rFonts w:ascii="仿宋_GB2312" w:eastAsia="仿宋_GB2312"/>
                <w:szCs w:val="21"/>
              </w:rPr>
            </w:pPr>
          </w:p>
        </w:tc>
        <w:tc>
          <w:tcPr>
            <w:tcW w:w="1560" w:type="dxa"/>
            <w:vAlign w:val="center"/>
          </w:tcPr>
          <w:p>
            <w:pPr>
              <w:jc w:val="center"/>
              <w:rPr>
                <w:rFonts w:ascii="仿宋_GB2312" w:eastAsia="仿宋_GB2312"/>
                <w:szCs w:val="21"/>
              </w:rPr>
            </w:pPr>
          </w:p>
        </w:tc>
        <w:tc>
          <w:tcPr>
            <w:tcW w:w="2409" w:type="dxa"/>
            <w:vAlign w:val="center"/>
          </w:tcPr>
          <w:p>
            <w:pPr>
              <w:jc w:val="center"/>
              <w:rPr>
                <w:rFonts w:ascii="仿宋_GB2312" w:eastAsia="仿宋_GB2312"/>
                <w:szCs w:val="21"/>
              </w:rPr>
            </w:pPr>
          </w:p>
        </w:tc>
        <w:tc>
          <w:tcPr>
            <w:tcW w:w="1560" w:type="dxa"/>
            <w:vAlign w:val="center"/>
          </w:tcPr>
          <w:p>
            <w:pPr>
              <w:jc w:val="center"/>
              <w:rPr>
                <w:rFonts w:ascii="仿宋_GB2312" w:eastAsia="仿宋_GB2312"/>
                <w:szCs w:val="21"/>
              </w:rPr>
            </w:pPr>
          </w:p>
        </w:tc>
        <w:tc>
          <w:tcPr>
            <w:tcW w:w="1732" w:type="dxa"/>
            <w:vAlign w:val="center"/>
          </w:tcPr>
          <w:p>
            <w:pPr>
              <w:jc w:val="center"/>
              <w:rPr>
                <w:rFonts w:ascii="仿宋_GB2312" w:eastAsia="仿宋_GB2312"/>
                <w:szCs w:val="21"/>
              </w:rPr>
            </w:pPr>
          </w:p>
        </w:tc>
        <w:tc>
          <w:tcPr>
            <w:tcW w:w="1418" w:type="dxa"/>
            <w:vAlign w:val="center"/>
          </w:tcPr>
          <w:p>
            <w:pPr>
              <w:jc w:val="center"/>
              <w:rPr>
                <w:rFonts w:ascii="仿宋_GB2312" w:eastAsia="仿宋_GB2312"/>
                <w:szCs w:val="21"/>
              </w:rPr>
            </w:pPr>
          </w:p>
        </w:tc>
        <w:tc>
          <w:tcPr>
            <w:tcW w:w="1418" w:type="dxa"/>
            <w:vAlign w:val="center"/>
          </w:tcPr>
          <w:p>
            <w:pPr>
              <w:jc w:val="center"/>
              <w:rPr>
                <w:rFonts w:ascii="仿宋_GB2312" w:eastAsia="仿宋_GB2312"/>
                <w:szCs w:val="21"/>
              </w:rPr>
            </w:pPr>
          </w:p>
        </w:tc>
      </w:tr>
    </w:tbl>
    <w:p>
      <w:pPr>
        <w:rPr>
          <w:rFonts w:ascii="仿宋_GB2312" w:eastAsia="仿宋_GB2312"/>
          <w:sz w:val="28"/>
          <w:szCs w:val="28"/>
          <w:u w:val="single"/>
        </w:rPr>
        <w:sectPr>
          <w:pgSz w:w="16838" w:h="11906" w:orient="landscape"/>
          <w:pgMar w:top="1800" w:right="1440" w:bottom="1800" w:left="1440" w:header="851" w:footer="992" w:gutter="0"/>
          <w:cols w:space="425" w:num="1"/>
          <w:docGrid w:type="lines" w:linePitch="312" w:charSpace="0"/>
        </w:sectPr>
      </w:pPr>
      <w:r>
        <w:rPr>
          <w:rFonts w:ascii="仿宋_GB2312" w:eastAsia="仿宋_GB2312"/>
          <w:sz w:val="28"/>
          <w:szCs w:val="28"/>
        </w:rPr>
        <w:t>填表人</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r>
        <w:rPr>
          <w:rFonts w:hint="eastAsia" w:ascii="仿宋_GB2312" w:eastAsia="仿宋_GB2312"/>
          <w:sz w:val="28"/>
          <w:szCs w:val="28"/>
        </w:rPr>
        <w:t xml:space="preserve">    电子邮件：</w:t>
      </w:r>
      <w:r>
        <w:rPr>
          <w:rFonts w:hint="eastAsia" w:ascii="仿宋_GB2312" w:eastAsia="仿宋_GB2312"/>
          <w:sz w:val="28"/>
          <w:szCs w:val="28"/>
          <w:u w:val="single"/>
        </w:rPr>
        <w:t xml:space="preserve">             </w:t>
      </w:r>
    </w:p>
    <w:p>
      <w:pPr>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5：</w:t>
      </w:r>
    </w:p>
    <w:p>
      <w:pPr>
        <w:pStyle w:val="3"/>
        <w:keepNext w:val="0"/>
        <w:keepLines w:val="0"/>
        <w:pageBreakBefore w:val="0"/>
        <w:widowControl w:val="0"/>
        <w:kinsoku/>
        <w:wordWrap/>
        <w:overflowPunct/>
        <w:topLinePunct w:val="0"/>
        <w:autoSpaceDE/>
        <w:autoSpaceDN/>
        <w:bidi w:val="0"/>
        <w:adjustRightInd/>
        <w:snapToGrid/>
        <w:spacing w:line="540" w:lineRule="exact"/>
        <w:ind w:firstLine="643" w:firstLineChars="20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业务能力组评分指标</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709"/>
        <w:gridCol w:w="6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84" w:type="dxa"/>
            <w:vAlign w:val="center"/>
          </w:tcPr>
          <w:p>
            <w:pPr>
              <w:jc w:val="center"/>
              <w:rPr>
                <w:rFonts w:ascii="仿宋_GB2312" w:eastAsia="仿宋_GB2312"/>
                <w:b/>
                <w:szCs w:val="21"/>
              </w:rPr>
            </w:pPr>
            <w:r>
              <w:rPr>
                <w:rFonts w:ascii="仿宋_GB2312" w:eastAsia="仿宋_GB2312"/>
                <w:b/>
                <w:szCs w:val="21"/>
              </w:rPr>
              <w:t>评分指标</w:t>
            </w:r>
          </w:p>
        </w:tc>
        <w:tc>
          <w:tcPr>
            <w:tcW w:w="709" w:type="dxa"/>
            <w:vAlign w:val="center"/>
          </w:tcPr>
          <w:p>
            <w:pPr>
              <w:jc w:val="center"/>
              <w:rPr>
                <w:rFonts w:ascii="仿宋_GB2312" w:eastAsia="仿宋_GB2312"/>
                <w:b/>
                <w:szCs w:val="21"/>
              </w:rPr>
            </w:pPr>
            <w:r>
              <w:rPr>
                <w:rFonts w:ascii="仿宋_GB2312" w:eastAsia="仿宋_GB2312"/>
                <w:b/>
                <w:szCs w:val="21"/>
              </w:rPr>
              <w:t>分值</w:t>
            </w:r>
          </w:p>
        </w:tc>
        <w:tc>
          <w:tcPr>
            <w:tcW w:w="6429" w:type="dxa"/>
            <w:vAlign w:val="center"/>
          </w:tcPr>
          <w:p>
            <w:pPr>
              <w:jc w:val="center"/>
              <w:rPr>
                <w:rFonts w:ascii="仿宋_GB2312" w:eastAsia="仿宋_GB2312"/>
                <w:b/>
                <w:szCs w:val="21"/>
              </w:rPr>
            </w:pPr>
            <w:r>
              <w:rPr>
                <w:rFonts w:ascii="仿宋_GB2312" w:eastAsia="仿宋_GB2312"/>
                <w:b/>
                <w:szCs w:val="21"/>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jc w:val="center"/>
              <w:rPr>
                <w:rFonts w:ascii="仿宋_GB2312" w:eastAsia="仿宋_GB2312"/>
                <w:szCs w:val="21"/>
              </w:rPr>
            </w:pPr>
            <w:r>
              <w:rPr>
                <w:rFonts w:ascii="仿宋_GB2312" w:eastAsia="仿宋_GB2312"/>
                <w:szCs w:val="21"/>
              </w:rPr>
              <w:t>班情与目标</w:t>
            </w:r>
          </w:p>
        </w:tc>
        <w:tc>
          <w:tcPr>
            <w:tcW w:w="709" w:type="dxa"/>
            <w:vAlign w:val="center"/>
          </w:tcPr>
          <w:p>
            <w:pPr>
              <w:jc w:val="center"/>
              <w:rPr>
                <w:rFonts w:ascii="仿宋_GB2312" w:eastAsia="仿宋_GB2312"/>
                <w:szCs w:val="21"/>
              </w:rPr>
            </w:pPr>
            <w:r>
              <w:rPr>
                <w:rFonts w:hint="eastAsia" w:ascii="仿宋_GB2312" w:eastAsia="仿宋_GB2312"/>
                <w:szCs w:val="21"/>
              </w:rPr>
              <w:t>15</w:t>
            </w:r>
          </w:p>
        </w:tc>
        <w:tc>
          <w:tcPr>
            <w:tcW w:w="6429" w:type="dxa"/>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仿宋_GB2312" w:eastAsia="仿宋_GB2312"/>
                <w:szCs w:val="21"/>
              </w:rPr>
            </w:pPr>
            <w:r>
              <w:rPr>
                <w:rFonts w:hint="eastAsia" w:ascii="仿宋_GB2312" w:eastAsia="仿宋_GB2312"/>
                <w:szCs w:val="21"/>
              </w:rPr>
              <w:t>1.对学生个体、班级人员组成结构等情况和班级所属专业的人才培养目标、课程体系、有关行业岗位要</w:t>
            </w:r>
            <w:bookmarkStart w:id="0" w:name="_GoBack"/>
            <w:bookmarkEnd w:id="0"/>
            <w:r>
              <w:rPr>
                <w:rFonts w:hint="eastAsia" w:ascii="仿宋_GB2312" w:eastAsia="仿宋_GB2312"/>
                <w:szCs w:val="21"/>
              </w:rPr>
              <w:t>求实际等掌握清楚，学生成长变化跟踪及时。</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仿宋_GB2312" w:eastAsia="仿宋_GB2312"/>
                <w:szCs w:val="21"/>
              </w:rPr>
            </w:pPr>
            <w:r>
              <w:rPr>
                <w:rFonts w:hint="eastAsia" w:ascii="仿宋_GB2312" w:eastAsia="仿宋_GB2312"/>
                <w:szCs w:val="21"/>
              </w:rPr>
              <w:t>2.班级情况分析深入,对建班育人实践中需重点关注的工作领域、学生个体以及可能面临的困难、需要重点解决的问题判断准确。参加决赛时对所抽定的班级活动主题和模拟情景领会到位，育人元素、要求、内容把握恰当。</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仿宋_GB2312" w:eastAsia="仿宋_GB2312"/>
                <w:szCs w:val="21"/>
              </w:rPr>
            </w:pPr>
            <w:r>
              <w:rPr>
                <w:rFonts w:hint="eastAsia" w:ascii="仿宋_GB2312" w:eastAsia="仿宋_GB2312"/>
                <w:szCs w:val="21"/>
              </w:rPr>
              <w:t>3.班级建设目标创设科学合理，适应新时代对高素质劳动者和技术技能人才培养的新要求，符合国家有关规定和工作要求，将立德树人放在首要位置，强调培育学生的理想信念，践行社会主义核心价值观，树立正确的职业理想，激发学习兴趣，培养精益求精的工匠精神和爱岗敬业的劳动态度。坚持班级整体建设与学生个体培养有机统一。</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仿宋_GB2312" w:eastAsia="仿宋_GB2312"/>
                <w:szCs w:val="21"/>
              </w:rPr>
            </w:pPr>
            <w:r>
              <w:rPr>
                <w:rFonts w:hint="eastAsia" w:ascii="仿宋_GB2312" w:eastAsia="仿宋_GB2312"/>
                <w:szCs w:val="21"/>
              </w:rPr>
              <w:t>4.班级建设目标、主题班会目标、班级活动目标(决赛)表述清晰明确、语言规范、符合实际，重点突出、可评可测。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jc w:val="center"/>
              <w:rPr>
                <w:rFonts w:ascii="仿宋_GB2312" w:eastAsia="仿宋_GB2312"/>
                <w:szCs w:val="21"/>
              </w:rPr>
            </w:pPr>
            <w:r>
              <w:rPr>
                <w:rFonts w:ascii="仿宋_GB2312" w:eastAsia="仿宋_GB2312"/>
                <w:szCs w:val="21"/>
              </w:rPr>
              <w:t>内容与策略</w:t>
            </w:r>
          </w:p>
        </w:tc>
        <w:tc>
          <w:tcPr>
            <w:tcW w:w="709" w:type="dxa"/>
            <w:vAlign w:val="center"/>
          </w:tcPr>
          <w:p>
            <w:pPr>
              <w:jc w:val="center"/>
              <w:rPr>
                <w:rFonts w:ascii="仿宋_GB2312" w:eastAsia="仿宋_GB2312"/>
                <w:szCs w:val="21"/>
              </w:rPr>
            </w:pPr>
            <w:r>
              <w:rPr>
                <w:rFonts w:hint="eastAsia" w:ascii="仿宋_GB2312" w:eastAsia="仿宋_GB2312"/>
                <w:szCs w:val="21"/>
              </w:rPr>
              <w:t>20</w:t>
            </w:r>
          </w:p>
        </w:tc>
        <w:tc>
          <w:tcPr>
            <w:tcW w:w="6429" w:type="dxa"/>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仿宋_GB2312" w:eastAsia="仿宋_GB2312"/>
                <w:szCs w:val="21"/>
              </w:rPr>
            </w:pPr>
            <w:r>
              <w:rPr>
                <w:rFonts w:hint="eastAsia" w:ascii="仿宋_GB2312" w:eastAsia="仿宋_GB2312"/>
                <w:szCs w:val="21"/>
              </w:rPr>
              <w:t>1.班级建设内容、途径和方法有效支撑班级建设目标的实现。</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仿宋_GB2312" w:eastAsia="仿宋_GB2312"/>
                <w:szCs w:val="21"/>
              </w:rPr>
            </w:pPr>
            <w:r>
              <w:rPr>
                <w:rFonts w:hint="eastAsia" w:ascii="仿宋_GB2312" w:eastAsia="仿宋_GB2312"/>
                <w:szCs w:val="21"/>
              </w:rPr>
              <w:t>2.班级建设内容突出习近平新时代中国特色社会主义思想教育，党史、新中国史、改革开放史、社会主义发展史教育和爱国主义、集体主义、社会主义教育，深入开展劳动教育、中华优秀传统文化传承与创新，加强安全教育、法治教育、卫生健康教育和心理健康教育等。</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仿宋_GB2312" w:eastAsia="仿宋_GB2312"/>
                <w:szCs w:val="21"/>
              </w:rPr>
            </w:pPr>
            <w:r>
              <w:rPr>
                <w:rFonts w:hint="eastAsia" w:ascii="仿宋_GB2312" w:eastAsia="仿宋_GB2312"/>
                <w:szCs w:val="21"/>
              </w:rPr>
              <w:t>3.注重行为规范养成教育，制度规范与自我教育、自我管理、自我服务、自我约束、自我保护相结合，树立优良班风学风，培养良好的职业道德、职业素养和职业行为习惯。班级活动主题明确、形式多样、安排科学合理、贴近学生实际，时代性、趣味性、针对性和实效性强。过程系统优化，资源、技术应用预想合理，方法手段设计恰当，评价考核考虑周全，鼓励、指导及时有效。</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仿宋_GB2312" w:eastAsia="仿宋_GB2312"/>
                <w:szCs w:val="21"/>
              </w:rPr>
            </w:pPr>
            <w:r>
              <w:rPr>
                <w:rFonts w:hint="eastAsia" w:ascii="仿宋_GB2312" w:eastAsia="仿宋_GB2312"/>
                <w:szCs w:val="21"/>
              </w:rPr>
              <w:t>4.突出学生主体、教师主导。坚持以心育心、以德育德、以人格育人格，工作方式易于被学生接受和理解。注重调动、整合运用各方面资源、力量，形成育人合力。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jc w:val="center"/>
              <w:rPr>
                <w:rFonts w:ascii="仿宋_GB2312" w:eastAsia="仿宋_GB2312"/>
                <w:szCs w:val="21"/>
              </w:rPr>
            </w:pPr>
            <w:r>
              <w:rPr>
                <w:rFonts w:ascii="仿宋_GB2312" w:eastAsia="仿宋_GB2312"/>
                <w:szCs w:val="21"/>
              </w:rPr>
              <w:t>实施与</w:t>
            </w:r>
            <w:r>
              <w:rPr>
                <w:rFonts w:hint="eastAsia" w:ascii="仿宋_GB2312" w:eastAsia="仿宋_GB2312"/>
                <w:szCs w:val="21"/>
              </w:rPr>
              <w:t>成效</w:t>
            </w:r>
          </w:p>
        </w:tc>
        <w:tc>
          <w:tcPr>
            <w:tcW w:w="709" w:type="dxa"/>
            <w:vAlign w:val="center"/>
          </w:tcPr>
          <w:p>
            <w:pPr>
              <w:jc w:val="center"/>
              <w:rPr>
                <w:rFonts w:ascii="仿宋_GB2312" w:eastAsia="仿宋_GB2312"/>
                <w:szCs w:val="21"/>
              </w:rPr>
            </w:pPr>
            <w:r>
              <w:rPr>
                <w:rFonts w:hint="eastAsia" w:ascii="仿宋_GB2312" w:eastAsia="仿宋_GB2312"/>
                <w:szCs w:val="21"/>
              </w:rPr>
              <w:t>35</w:t>
            </w:r>
          </w:p>
        </w:tc>
        <w:tc>
          <w:tcPr>
            <w:tcW w:w="6429" w:type="dxa"/>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仿宋_GB2312" w:eastAsia="仿宋_GB2312"/>
                <w:szCs w:val="21"/>
              </w:rPr>
            </w:pPr>
            <w:r>
              <w:rPr>
                <w:rFonts w:hint="eastAsia" w:ascii="仿宋_GB2312" w:eastAsia="仿宋_GB2312"/>
                <w:szCs w:val="21"/>
              </w:rPr>
              <w:t>1.体现先进教育思想和育人理念,遵循教育教学规律、思想政治工作规律和技术技能人才成长规律，符合职业学校办学实际和中职学生思想、行为特点，因材施教。</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仿宋_GB2312" w:eastAsia="仿宋_GB2312"/>
                <w:szCs w:val="21"/>
              </w:rPr>
            </w:pPr>
            <w:r>
              <w:rPr>
                <w:rFonts w:hint="eastAsia" w:ascii="仿宋_GB2312" w:eastAsia="仿宋_GB2312"/>
                <w:szCs w:val="21"/>
              </w:rPr>
              <w:t>2.关注班级工作的整体推进和对学生个体的关心关爱，思想工作深入到位，班级管理规范有序，班级活动覆盖面广、参与度高，学生积极参与“文明风采”活动等,班级学生发展兴趣爱好、参加竟赛竟技、参与志愿服务、展示才艺特长的成效显著，展现积极向上的精神风貌。3.职业指导针对性强，符合社会需要和学生个体特点、实际，学生职业素养明显提升,顺利实现就业、创业或升学。与班级学生、任课教师、家长、社区、企业沟通深入有效，协同有人效果明显，在学生顶岗实习期间，与实习单位共同做好学生的教育和管理工作。突发事件应对预案周密，处理妥善、及时，合理运用“两微一端”等新技术、新载体提高育人实效。</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仿宋_GB2312" w:eastAsia="仿宋_GB2312"/>
                <w:szCs w:val="21"/>
              </w:rPr>
            </w:pPr>
            <w:r>
              <w:rPr>
                <w:rFonts w:hint="eastAsia" w:ascii="仿宋_GB2312" w:eastAsia="仿宋_GB2312"/>
                <w:szCs w:val="21"/>
              </w:rPr>
              <w:t>4.按照班级建设方案扎实推进建班育人，关注育人全过程的信息采集，跟踪学生成长发展情况并细致分析，能够对照班级建设目标和达成进度，及时调整班级管理策略，积极反思改进。班级建设目标有效达成。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jc w:val="center"/>
              <w:rPr>
                <w:rFonts w:ascii="仿宋_GB2312" w:eastAsia="仿宋_GB2312"/>
                <w:szCs w:val="21"/>
              </w:rPr>
            </w:pPr>
            <w:r>
              <w:rPr>
                <w:rFonts w:ascii="仿宋_GB2312" w:eastAsia="仿宋_GB2312"/>
                <w:szCs w:val="21"/>
              </w:rPr>
              <w:t>素养与表现</w:t>
            </w:r>
          </w:p>
        </w:tc>
        <w:tc>
          <w:tcPr>
            <w:tcW w:w="709" w:type="dxa"/>
            <w:vAlign w:val="center"/>
          </w:tcPr>
          <w:p>
            <w:pPr>
              <w:jc w:val="center"/>
              <w:rPr>
                <w:rFonts w:ascii="仿宋_GB2312" w:eastAsia="仿宋_GB2312"/>
                <w:szCs w:val="21"/>
              </w:rPr>
            </w:pPr>
            <w:r>
              <w:rPr>
                <w:rFonts w:hint="eastAsia" w:ascii="仿宋_GB2312" w:eastAsia="仿宋_GB2312"/>
                <w:szCs w:val="21"/>
              </w:rPr>
              <w:t>15</w:t>
            </w:r>
          </w:p>
        </w:tc>
        <w:tc>
          <w:tcPr>
            <w:tcW w:w="6429" w:type="dxa"/>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仿宋_GB2312" w:eastAsia="仿宋_GB2312"/>
                <w:szCs w:val="21"/>
              </w:rPr>
            </w:pPr>
            <w:r>
              <w:rPr>
                <w:rFonts w:hint="eastAsia" w:ascii="仿宋_GB2312" w:eastAsia="仿宋_GB2312"/>
                <w:szCs w:val="21"/>
              </w:rPr>
              <w:t>1.自觉践行教师职业行为十项准则，充分展现新时代职业学校班主任良好的师德师风、育人能力,做以德立身、以德立学、以德施教、以德育德的楷模。</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仿宋_GB2312" w:eastAsia="仿宋_GB2312"/>
                <w:szCs w:val="21"/>
              </w:rPr>
            </w:pPr>
            <w:r>
              <w:rPr>
                <w:rFonts w:hint="eastAsia" w:ascii="仿宋_GB2312" w:eastAsia="仿宋_GB2312"/>
                <w:szCs w:val="21"/>
              </w:rPr>
              <w:t>2.教师育人态度认真、严谨规范、表述清晰、组织协调有条不紊、亲和力强，注重针对学生的个体差异因材施教。</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仿宋_GB2312" w:eastAsia="仿宋_GB2312"/>
                <w:szCs w:val="21"/>
              </w:rPr>
            </w:pPr>
            <w:r>
              <w:rPr>
                <w:rFonts w:hint="eastAsia" w:ascii="仿宋_GB2312" w:eastAsia="仿宋_GB2312"/>
                <w:szCs w:val="21"/>
              </w:rPr>
              <w:t>3.班级建设方案实施情况总结客观真实反映、深刻反思建班育人的成效与不足，提出班级建设的改进设想。</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仿宋_GB2312" w:eastAsia="仿宋_GB2312"/>
                <w:szCs w:val="21"/>
              </w:rPr>
            </w:pPr>
            <w:r>
              <w:rPr>
                <w:rFonts w:hint="eastAsia" w:ascii="仿宋_GB2312" w:eastAsia="仿宋_GB2312"/>
                <w:szCs w:val="21"/>
              </w:rPr>
              <w:t>4.决赛的情况介绍、现场展示和回答提问，熟悉学生情况、聚焦主题、科学准确、思路清晰、逻辑严谨、研究深入、手段得当、简洁明了、表达流畅。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jc w:val="center"/>
              <w:rPr>
                <w:rFonts w:ascii="仿宋_GB2312" w:eastAsia="仿宋_GB2312"/>
                <w:szCs w:val="21"/>
              </w:rPr>
            </w:pPr>
            <w:r>
              <w:rPr>
                <w:rFonts w:ascii="仿宋_GB2312" w:eastAsia="仿宋_GB2312"/>
                <w:szCs w:val="21"/>
              </w:rPr>
              <w:t>特色创新</w:t>
            </w:r>
          </w:p>
        </w:tc>
        <w:tc>
          <w:tcPr>
            <w:tcW w:w="709" w:type="dxa"/>
            <w:vAlign w:val="center"/>
          </w:tcPr>
          <w:p>
            <w:pPr>
              <w:jc w:val="center"/>
              <w:rPr>
                <w:rFonts w:ascii="仿宋_GB2312" w:eastAsia="仿宋_GB2312"/>
                <w:szCs w:val="21"/>
              </w:rPr>
            </w:pPr>
            <w:r>
              <w:rPr>
                <w:rFonts w:hint="eastAsia" w:ascii="仿宋_GB2312" w:eastAsia="仿宋_GB2312"/>
                <w:szCs w:val="21"/>
              </w:rPr>
              <w:t>15</w:t>
            </w:r>
          </w:p>
        </w:tc>
        <w:tc>
          <w:tcPr>
            <w:tcW w:w="6429" w:type="dxa"/>
            <w:vAlign w:val="center"/>
          </w:tcPr>
          <w:p>
            <w:pPr>
              <w:jc w:val="left"/>
              <w:rPr>
                <w:rFonts w:ascii="仿宋_GB2312" w:eastAsia="仿宋_GB2312"/>
                <w:szCs w:val="21"/>
              </w:rPr>
            </w:pPr>
            <w:r>
              <w:rPr>
                <w:rFonts w:hint="eastAsia" w:ascii="仿宋_GB2312" w:eastAsia="仿宋_GB2312"/>
                <w:szCs w:val="21"/>
              </w:rPr>
              <w:t>1.能够引导学生树立正确的理想信念、学会正确的思维方法、培育正确的劳动观念、良好的职业素养，增强学生职业荣誉感。</w:t>
            </w:r>
          </w:p>
          <w:p>
            <w:pPr>
              <w:jc w:val="left"/>
              <w:rPr>
                <w:rFonts w:ascii="仿宋_GB2312" w:eastAsia="仿宋_GB2312"/>
                <w:szCs w:val="21"/>
              </w:rPr>
            </w:pPr>
            <w:r>
              <w:rPr>
                <w:rFonts w:hint="eastAsia" w:ascii="仿宋_GB2312" w:eastAsia="仿宋_GB2312"/>
                <w:szCs w:val="21"/>
              </w:rPr>
              <w:t>2.能够创新育人模式和方法，给学生深刻、美好的成长体验和更多的获得感。</w:t>
            </w:r>
          </w:p>
          <w:p>
            <w:pPr>
              <w:jc w:val="left"/>
              <w:rPr>
                <w:rFonts w:ascii="仿宋_GB2312" w:eastAsia="仿宋_GB2312"/>
                <w:szCs w:val="21"/>
              </w:rPr>
            </w:pPr>
            <w:r>
              <w:rPr>
                <w:rFonts w:hint="eastAsia" w:ascii="仿宋_GB2312" w:eastAsia="仿宋_GB2312"/>
                <w:szCs w:val="21"/>
              </w:rPr>
              <w:t>3.能够与时俱进地提高信息技术应用能力,创新实施网络育人，推进班级建设，注重提升对立德树人工作的研究探索能力。</w:t>
            </w:r>
          </w:p>
          <w:p>
            <w:pPr>
              <w:jc w:val="left"/>
              <w:rPr>
                <w:rFonts w:ascii="仿宋_GB2312" w:eastAsia="仿宋_GB2312"/>
                <w:szCs w:val="21"/>
              </w:rPr>
            </w:pPr>
            <w:r>
              <w:rPr>
                <w:rFonts w:hint="eastAsia" w:ascii="仿宋_GB2312" w:eastAsia="仿宋_GB2312"/>
                <w:szCs w:val="21"/>
              </w:rPr>
              <w:t>4.建班育人模式和方法具有较高借鉴和推广价值，特别是妥善应对新冠肺炎疫情等罕见突发事件，做好特殊条件下的班级管理、沟通联络、学生关怀。</w:t>
            </w:r>
          </w:p>
        </w:tc>
      </w:tr>
    </w:tbl>
    <w:p>
      <w:pPr>
        <w:rPr>
          <w:rFonts w:ascii="仿宋_GB2312"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17</w:t>
    </w:r>
    <w:r>
      <w:rPr>
        <w:b/>
        <w:bCs/>
        <w:sz w:val="24"/>
        <w:szCs w:val="24"/>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948"/>
    <w:rsid w:val="00027AE0"/>
    <w:rsid w:val="000430AE"/>
    <w:rsid w:val="000944A0"/>
    <w:rsid w:val="000F71A9"/>
    <w:rsid w:val="00145D35"/>
    <w:rsid w:val="002127B1"/>
    <w:rsid w:val="0027552B"/>
    <w:rsid w:val="0028437B"/>
    <w:rsid w:val="00293948"/>
    <w:rsid w:val="004A23FF"/>
    <w:rsid w:val="00601DD4"/>
    <w:rsid w:val="006754C1"/>
    <w:rsid w:val="00717FA9"/>
    <w:rsid w:val="00826A18"/>
    <w:rsid w:val="008C3CAA"/>
    <w:rsid w:val="00914048"/>
    <w:rsid w:val="00934D74"/>
    <w:rsid w:val="009725B6"/>
    <w:rsid w:val="00A0610D"/>
    <w:rsid w:val="00AC5297"/>
    <w:rsid w:val="00C37D50"/>
    <w:rsid w:val="00C70446"/>
    <w:rsid w:val="00CB62E9"/>
    <w:rsid w:val="00D933A0"/>
    <w:rsid w:val="00DA406B"/>
    <w:rsid w:val="00E85EB2"/>
    <w:rsid w:val="00EC5FAF"/>
    <w:rsid w:val="00F942A7"/>
    <w:rsid w:val="00FA0842"/>
    <w:rsid w:val="2AF32850"/>
    <w:rsid w:val="3AEC74D7"/>
    <w:rsid w:val="60DE4AA4"/>
    <w:rsid w:val="6D6F7E29"/>
    <w:rsid w:val="74B12C9A"/>
    <w:rsid w:val="7ECB3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30"/>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Normal Indent"/>
    <w:basedOn w:val="1"/>
    <w:semiHidden/>
    <w:qFormat/>
    <w:uiPriority w:val="0"/>
    <w:pPr>
      <w:ind w:firstLine="420"/>
    </w:pPr>
    <w:rPr>
      <w:szCs w:val="20"/>
    </w:rPr>
  </w:style>
  <w:style w:type="paragraph" w:styleId="4">
    <w:name w:val="Balloon Text"/>
    <w:basedOn w:val="1"/>
    <w:link w:val="13"/>
    <w:semiHidden/>
    <w:unhideWhenUsed/>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uiPriority w:val="99"/>
    <w:rPr>
      <w:sz w:val="18"/>
      <w:szCs w:val="18"/>
    </w:rPr>
  </w:style>
  <w:style w:type="character" w:customStyle="1" w:styleId="11">
    <w:name w:val="页脚 Char"/>
    <w:basedOn w:val="9"/>
    <w:link w:val="5"/>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9"/>
    <w:link w:val="4"/>
    <w:semiHidden/>
    <w:uiPriority w:val="99"/>
    <w:rPr>
      <w:sz w:val="18"/>
      <w:szCs w:val="18"/>
    </w:rPr>
  </w:style>
  <w:style w:type="paragraph" w:customStyle="1" w:styleId="14">
    <w:name w:val="样式1"/>
    <w:basedOn w:val="2"/>
    <w:qFormat/>
    <w:uiPriority w:val="0"/>
    <w:pPr>
      <w:adjustRightInd w:val="0"/>
      <w:snapToGrid w:val="0"/>
      <w:spacing w:before="120" w:beforeLines="50" w:after="120" w:afterLines="50" w:line="300" w:lineRule="auto"/>
    </w:pPr>
    <w:rPr>
      <w:rFonts w:ascii="黑体" w:hAnsi="黑体" w:eastAsia="黑体" w:cs="宋体"/>
      <w:b w:val="0"/>
      <w:color w:val="00000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1258</Words>
  <Characters>7175</Characters>
  <Lines>59</Lines>
  <Paragraphs>16</Paragraphs>
  <TotalTime>6</TotalTime>
  <ScaleCrop>false</ScaleCrop>
  <LinksUpToDate>false</LinksUpToDate>
  <CharactersWithSpaces>8417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2020-09-23T01:44:00Z</dcterms:created>
  <dc:creator>Windows</dc:creator>
  <cp:lastModifiedBy>hp</cp:lastModifiedBy>
  <dcterms:modified xsi:type="dcterms:W3CDTF">2021-03-23T02:59:39Z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EE2AB98F9A9D4B47AA827D24CFD1B575</vt:lpwstr>
  </property>
</Properties>
</file>